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C96CF" w14:textId="2CC97F0E" w:rsidR="00256036" w:rsidRPr="006F3497" w:rsidRDefault="0008158D" w:rsidP="0008158D">
      <w:pPr>
        <w:jc w:val="right"/>
        <w:rPr>
          <w:rFonts w:ascii="Arial" w:hAnsi="Arial" w:cs="Arial"/>
          <w:szCs w:val="24"/>
        </w:rPr>
      </w:pPr>
      <w:r>
        <w:rPr>
          <w:rFonts w:ascii="Arial" w:hAnsi="Arial" w:cs="Arial"/>
          <w:noProof/>
          <w:szCs w:val="24"/>
          <w:lang w:eastAsia="en-GB"/>
        </w:rPr>
        <w:drawing>
          <wp:inline distT="0" distB="0" distL="0" distR="0" wp14:anchorId="491C1207" wp14:editId="54EC7D7E">
            <wp:extent cx="22860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771525"/>
                    </a:xfrm>
                    <a:prstGeom prst="rect">
                      <a:avLst/>
                    </a:prstGeom>
                    <a:noFill/>
                  </pic:spPr>
                </pic:pic>
              </a:graphicData>
            </a:graphic>
          </wp:inline>
        </w:drawing>
      </w:r>
    </w:p>
    <w:p w14:paraId="477C96D0" w14:textId="688E65B0" w:rsidR="00256036" w:rsidRPr="006F3497" w:rsidRDefault="00256036" w:rsidP="006F3497">
      <w:pPr>
        <w:ind w:left="5760"/>
        <w:rPr>
          <w:rFonts w:ascii="Arial" w:hAnsi="Arial" w:cs="Arial"/>
          <w:szCs w:val="24"/>
        </w:rPr>
      </w:pPr>
    </w:p>
    <w:p w14:paraId="278D1977" w14:textId="4D3E9D37" w:rsidR="00C13CDF" w:rsidRDefault="00BE7159" w:rsidP="00C13CDF">
      <w:pPr>
        <w:rPr>
          <w:rFonts w:ascii="Arial" w:hAnsi="Arial" w:cs="Arial"/>
          <w:sz w:val="22"/>
          <w:szCs w:val="22"/>
        </w:rPr>
      </w:pPr>
      <w:r>
        <w:rPr>
          <w:rFonts w:ascii="Arial" w:hAnsi="Arial" w:cs="Arial"/>
          <w:sz w:val="22"/>
          <w:szCs w:val="22"/>
        </w:rPr>
        <w:t>Local Development Plan Team</w:t>
      </w:r>
    </w:p>
    <w:p w14:paraId="76222071" w14:textId="4AEA6923" w:rsidR="00BE7159" w:rsidRDefault="00BE7159" w:rsidP="00C13CDF">
      <w:pPr>
        <w:rPr>
          <w:rFonts w:ascii="Arial" w:hAnsi="Arial" w:cs="Arial"/>
          <w:sz w:val="22"/>
          <w:szCs w:val="22"/>
        </w:rPr>
      </w:pPr>
      <w:r>
        <w:rPr>
          <w:rFonts w:ascii="Arial" w:hAnsi="Arial" w:cs="Arial"/>
          <w:sz w:val="22"/>
          <w:szCs w:val="22"/>
        </w:rPr>
        <w:t>Regul</w:t>
      </w:r>
      <w:r w:rsidR="00E3621A">
        <w:rPr>
          <w:rFonts w:ascii="Arial" w:hAnsi="Arial" w:cs="Arial"/>
          <w:sz w:val="22"/>
          <w:szCs w:val="22"/>
        </w:rPr>
        <w:t>atory Services</w:t>
      </w:r>
    </w:p>
    <w:p w14:paraId="1DD04AE5" w14:textId="2FB2C8FF" w:rsidR="00E3621A" w:rsidRDefault="00E3621A" w:rsidP="00C13CDF">
      <w:pPr>
        <w:rPr>
          <w:rFonts w:ascii="Arial" w:hAnsi="Arial" w:cs="Arial"/>
          <w:sz w:val="22"/>
          <w:szCs w:val="22"/>
        </w:rPr>
      </w:pPr>
      <w:r>
        <w:rPr>
          <w:rFonts w:ascii="Arial" w:hAnsi="Arial" w:cs="Arial"/>
          <w:sz w:val="22"/>
          <w:szCs w:val="22"/>
        </w:rPr>
        <w:t>Scottish Borders Council</w:t>
      </w:r>
    </w:p>
    <w:p w14:paraId="78D5A49E" w14:textId="48A1DFC7" w:rsidR="00E3621A" w:rsidRDefault="00E3621A" w:rsidP="00C13CDF">
      <w:pPr>
        <w:rPr>
          <w:rFonts w:ascii="Arial" w:hAnsi="Arial" w:cs="Arial"/>
          <w:sz w:val="22"/>
          <w:szCs w:val="22"/>
        </w:rPr>
      </w:pPr>
      <w:r>
        <w:rPr>
          <w:rFonts w:ascii="Arial" w:hAnsi="Arial" w:cs="Arial"/>
          <w:sz w:val="22"/>
          <w:szCs w:val="22"/>
        </w:rPr>
        <w:t>Council Headquarters</w:t>
      </w:r>
    </w:p>
    <w:p w14:paraId="0512BD39" w14:textId="3EC0F7D6" w:rsidR="00E3621A" w:rsidRDefault="00E3621A" w:rsidP="00C13CDF">
      <w:pPr>
        <w:rPr>
          <w:rFonts w:ascii="Arial" w:hAnsi="Arial" w:cs="Arial"/>
          <w:sz w:val="22"/>
          <w:szCs w:val="22"/>
        </w:rPr>
      </w:pPr>
      <w:r>
        <w:rPr>
          <w:rFonts w:ascii="Arial" w:hAnsi="Arial" w:cs="Arial"/>
          <w:sz w:val="22"/>
          <w:szCs w:val="22"/>
        </w:rPr>
        <w:t>Newtown St Boswells</w:t>
      </w:r>
    </w:p>
    <w:p w14:paraId="0BF0ABAE" w14:textId="028B555C" w:rsidR="00E3621A" w:rsidRDefault="00FA395A" w:rsidP="00C13CDF">
      <w:pPr>
        <w:rPr>
          <w:rFonts w:ascii="Arial" w:hAnsi="Arial" w:cs="Arial"/>
          <w:sz w:val="22"/>
          <w:szCs w:val="22"/>
        </w:rPr>
      </w:pPr>
      <w:r>
        <w:rPr>
          <w:rFonts w:ascii="Arial" w:hAnsi="Arial" w:cs="Arial"/>
          <w:sz w:val="22"/>
          <w:szCs w:val="22"/>
        </w:rPr>
        <w:t>Melrose</w:t>
      </w:r>
    </w:p>
    <w:p w14:paraId="4B36809F" w14:textId="53B589C0" w:rsidR="00C95801" w:rsidRPr="00C13CDF" w:rsidRDefault="00C95801" w:rsidP="00C13CDF">
      <w:pPr>
        <w:rPr>
          <w:rFonts w:ascii="Arial" w:hAnsi="Arial" w:cs="Arial"/>
          <w:sz w:val="22"/>
          <w:szCs w:val="22"/>
        </w:rPr>
      </w:pPr>
      <w:r>
        <w:rPr>
          <w:rFonts w:ascii="Arial" w:hAnsi="Arial" w:cs="Arial"/>
          <w:sz w:val="22"/>
          <w:szCs w:val="22"/>
        </w:rPr>
        <w:t>TD6 0SA</w:t>
      </w:r>
    </w:p>
    <w:p w14:paraId="5D658647" w14:textId="77777777" w:rsidR="0035669E" w:rsidRPr="00C13CDF" w:rsidRDefault="0035669E" w:rsidP="00256036">
      <w:pPr>
        <w:rPr>
          <w:rFonts w:ascii="Arial" w:hAnsi="Arial" w:cs="Arial"/>
          <w:sz w:val="22"/>
          <w:szCs w:val="22"/>
        </w:rPr>
      </w:pPr>
    </w:p>
    <w:p w14:paraId="05B03CB4" w14:textId="6E679CB5" w:rsidR="006F24FA" w:rsidRDefault="0035669E" w:rsidP="00256036">
      <w:pPr>
        <w:rPr>
          <w:rFonts w:ascii="Arial" w:hAnsi="Arial" w:cs="Arial"/>
          <w:sz w:val="22"/>
          <w:szCs w:val="22"/>
        </w:rPr>
      </w:pPr>
      <w:r w:rsidRPr="00C13CDF">
        <w:rPr>
          <w:rFonts w:ascii="Arial" w:hAnsi="Arial" w:cs="Arial"/>
          <w:sz w:val="22"/>
          <w:szCs w:val="22"/>
        </w:rPr>
        <w:t>By Email to</w:t>
      </w:r>
      <w:r w:rsidR="001B7164">
        <w:rPr>
          <w:rFonts w:ascii="Arial" w:hAnsi="Arial" w:cs="Arial"/>
          <w:sz w:val="22"/>
          <w:szCs w:val="22"/>
        </w:rPr>
        <w:t xml:space="preserve">: </w:t>
      </w:r>
      <w:hyperlink r:id="rId12" w:history="1">
        <w:r w:rsidR="001B7164" w:rsidRPr="00E67AE0">
          <w:rPr>
            <w:rStyle w:val="Hyperlink"/>
            <w:rFonts w:ascii="Arial" w:hAnsi="Arial" w:cs="Arial"/>
            <w:sz w:val="22"/>
            <w:szCs w:val="22"/>
          </w:rPr>
          <w:t>localplans@scottishborders.gov.uk</w:t>
        </w:r>
      </w:hyperlink>
      <w:r w:rsidR="001B7164">
        <w:rPr>
          <w:rFonts w:ascii="Arial" w:hAnsi="Arial" w:cs="Arial"/>
          <w:sz w:val="22"/>
          <w:szCs w:val="22"/>
        </w:rPr>
        <w:t xml:space="preserve"> </w:t>
      </w:r>
      <w:r w:rsidR="00C65E63">
        <w:rPr>
          <w:rFonts w:ascii="Arial" w:hAnsi="Arial" w:cs="Arial"/>
          <w:sz w:val="22"/>
          <w:szCs w:val="22"/>
        </w:rPr>
        <w:t xml:space="preserve"> </w:t>
      </w:r>
    </w:p>
    <w:p w14:paraId="576936A4" w14:textId="41D258A4" w:rsidR="00C13CDF" w:rsidRDefault="00C13CDF" w:rsidP="00256036">
      <w:pPr>
        <w:rPr>
          <w:rFonts w:ascii="Arial" w:hAnsi="Arial" w:cs="Arial"/>
          <w:sz w:val="22"/>
          <w:szCs w:val="22"/>
        </w:rPr>
      </w:pPr>
    </w:p>
    <w:p w14:paraId="477C96D8" w14:textId="00DABBA8" w:rsidR="00256036" w:rsidRPr="00C13CDF" w:rsidRDefault="00C95801" w:rsidP="00256036">
      <w:pPr>
        <w:rPr>
          <w:rFonts w:ascii="Arial" w:hAnsi="Arial" w:cs="Arial"/>
          <w:sz w:val="22"/>
          <w:szCs w:val="22"/>
        </w:rPr>
      </w:pPr>
      <w:r>
        <w:rPr>
          <w:rFonts w:ascii="Arial" w:hAnsi="Arial" w:cs="Arial"/>
          <w:sz w:val="22"/>
          <w:szCs w:val="22"/>
        </w:rPr>
        <w:t>8 February 2019</w:t>
      </w:r>
    </w:p>
    <w:p w14:paraId="477C96D9" w14:textId="15189136" w:rsidR="00256036" w:rsidRDefault="00256036" w:rsidP="00256036">
      <w:pPr>
        <w:rPr>
          <w:rFonts w:ascii="Arial" w:hAnsi="Arial" w:cs="Arial"/>
          <w:sz w:val="22"/>
          <w:szCs w:val="22"/>
        </w:rPr>
      </w:pPr>
    </w:p>
    <w:p w14:paraId="5EF194C9" w14:textId="4A5C5512" w:rsidR="00C65E63" w:rsidRPr="00C65E63" w:rsidRDefault="00C65E63" w:rsidP="00C65E63">
      <w:pPr>
        <w:rPr>
          <w:rFonts w:ascii="Arial" w:hAnsi="Arial"/>
          <w:sz w:val="22"/>
          <w:szCs w:val="22"/>
        </w:rPr>
      </w:pPr>
      <w:r w:rsidRPr="00C65E63">
        <w:rPr>
          <w:rFonts w:ascii="Arial" w:hAnsi="Arial"/>
          <w:sz w:val="22"/>
          <w:szCs w:val="22"/>
        </w:rPr>
        <w:t xml:space="preserve">Dear </w:t>
      </w:r>
      <w:r w:rsidR="00C95801">
        <w:rPr>
          <w:rFonts w:ascii="Arial" w:hAnsi="Arial"/>
          <w:sz w:val="22"/>
          <w:szCs w:val="22"/>
        </w:rPr>
        <w:t>Local Development Plans Team</w:t>
      </w:r>
      <w:r w:rsidR="005D2493">
        <w:rPr>
          <w:rFonts w:ascii="Arial" w:hAnsi="Arial"/>
          <w:sz w:val="22"/>
          <w:szCs w:val="22"/>
        </w:rPr>
        <w:t>,</w:t>
      </w:r>
    </w:p>
    <w:p w14:paraId="74E5D86E" w14:textId="77777777" w:rsidR="00C65E63" w:rsidRPr="00C65E63" w:rsidRDefault="00C65E63" w:rsidP="00C65E63">
      <w:pPr>
        <w:rPr>
          <w:rFonts w:ascii="Arial" w:hAnsi="Arial"/>
          <w:sz w:val="22"/>
          <w:szCs w:val="22"/>
        </w:rPr>
      </w:pPr>
    </w:p>
    <w:p w14:paraId="30ACE601" w14:textId="1F8BE23B" w:rsidR="00C65E63" w:rsidRDefault="00C95801" w:rsidP="00C65E63">
      <w:pPr>
        <w:rPr>
          <w:rFonts w:ascii="Arial" w:hAnsi="Arial"/>
          <w:b/>
          <w:sz w:val="22"/>
          <w:szCs w:val="22"/>
        </w:rPr>
      </w:pPr>
      <w:r>
        <w:rPr>
          <w:rFonts w:ascii="Arial" w:hAnsi="Arial"/>
          <w:b/>
          <w:sz w:val="22"/>
          <w:szCs w:val="22"/>
        </w:rPr>
        <w:t>Scottish Borders Local Development Plan Main Issues Report</w:t>
      </w:r>
    </w:p>
    <w:p w14:paraId="5472C308" w14:textId="5AE9E5F3" w:rsidR="00C95801" w:rsidRPr="00C65E63" w:rsidRDefault="00C95801" w:rsidP="00C65E63">
      <w:pPr>
        <w:rPr>
          <w:rFonts w:ascii="Arial" w:hAnsi="Arial"/>
          <w:b/>
          <w:sz w:val="22"/>
          <w:szCs w:val="22"/>
        </w:rPr>
      </w:pPr>
      <w:r>
        <w:rPr>
          <w:rFonts w:ascii="Arial" w:hAnsi="Arial"/>
          <w:b/>
          <w:sz w:val="22"/>
          <w:szCs w:val="22"/>
        </w:rPr>
        <w:t>Homes for Scotland Re</w:t>
      </w:r>
      <w:r w:rsidR="0094507D">
        <w:rPr>
          <w:rFonts w:ascii="Arial" w:hAnsi="Arial"/>
          <w:b/>
          <w:sz w:val="22"/>
          <w:szCs w:val="22"/>
        </w:rPr>
        <w:t xml:space="preserve">presentation </w:t>
      </w:r>
    </w:p>
    <w:p w14:paraId="74007985" w14:textId="77777777" w:rsidR="00C65E63" w:rsidRPr="00C65E63" w:rsidRDefault="00C65E63" w:rsidP="00C65E63">
      <w:pPr>
        <w:rPr>
          <w:rFonts w:ascii="Arial" w:hAnsi="Arial"/>
          <w:sz w:val="22"/>
          <w:szCs w:val="22"/>
        </w:rPr>
      </w:pPr>
    </w:p>
    <w:p w14:paraId="654F5C57" w14:textId="2350408D" w:rsidR="001B3AAB" w:rsidRPr="00B65A3F" w:rsidRDefault="00385C26" w:rsidP="00DB74E6">
      <w:pPr>
        <w:rPr>
          <w:rFonts w:ascii="Arial" w:hAnsi="Arial"/>
          <w:b/>
          <w:sz w:val="22"/>
          <w:szCs w:val="22"/>
        </w:rPr>
      </w:pPr>
      <w:r w:rsidRPr="00B65A3F">
        <w:rPr>
          <w:rFonts w:ascii="Arial" w:hAnsi="Arial"/>
          <w:b/>
          <w:sz w:val="22"/>
          <w:szCs w:val="22"/>
        </w:rPr>
        <w:t>Introduction</w:t>
      </w:r>
    </w:p>
    <w:p w14:paraId="58C93225" w14:textId="266EE818" w:rsidR="00385C26" w:rsidRDefault="00385C26" w:rsidP="00DB74E6">
      <w:pPr>
        <w:rPr>
          <w:rFonts w:ascii="Arial" w:hAnsi="Arial"/>
          <w:sz w:val="22"/>
          <w:szCs w:val="22"/>
        </w:rPr>
      </w:pPr>
      <w:r>
        <w:rPr>
          <w:rFonts w:ascii="Arial" w:hAnsi="Arial"/>
          <w:sz w:val="22"/>
          <w:szCs w:val="22"/>
        </w:rPr>
        <w:t xml:space="preserve">Homes for Scotland welcomes the opportunity to </w:t>
      </w:r>
      <w:r w:rsidR="00CA4D5B">
        <w:rPr>
          <w:rFonts w:ascii="Arial" w:hAnsi="Arial"/>
          <w:sz w:val="22"/>
          <w:szCs w:val="22"/>
        </w:rPr>
        <w:t xml:space="preserve">comment on the Scottish Borders Local Development Plan (LDP) Main Issues Report (MIR) </w:t>
      </w:r>
      <w:r w:rsidR="000D7F3E">
        <w:rPr>
          <w:rFonts w:ascii="Arial" w:hAnsi="Arial"/>
          <w:sz w:val="22"/>
          <w:szCs w:val="22"/>
        </w:rPr>
        <w:t>and this letter sets out all comments from Homes for Scotland on the MIR.</w:t>
      </w:r>
    </w:p>
    <w:p w14:paraId="07CA9E8A" w14:textId="3C540576" w:rsidR="000D7F3E" w:rsidRDefault="000D7F3E" w:rsidP="00DB74E6">
      <w:pPr>
        <w:rPr>
          <w:rFonts w:ascii="Arial" w:hAnsi="Arial"/>
          <w:sz w:val="22"/>
          <w:szCs w:val="22"/>
        </w:rPr>
      </w:pPr>
    </w:p>
    <w:p w14:paraId="7E625DE6" w14:textId="77777777" w:rsidR="000B1E61" w:rsidRDefault="000B1E61" w:rsidP="00DB74E6">
      <w:pPr>
        <w:rPr>
          <w:rFonts w:ascii="Arial" w:hAnsi="Arial"/>
          <w:sz w:val="22"/>
          <w:szCs w:val="22"/>
        </w:rPr>
      </w:pPr>
    </w:p>
    <w:p w14:paraId="008EE70C" w14:textId="4E97680D" w:rsidR="000D7F3E" w:rsidRPr="00B65A3F" w:rsidRDefault="00D36D32" w:rsidP="00DB74E6">
      <w:pPr>
        <w:rPr>
          <w:rFonts w:ascii="Arial" w:hAnsi="Arial"/>
          <w:b/>
          <w:sz w:val="22"/>
          <w:szCs w:val="22"/>
        </w:rPr>
      </w:pPr>
      <w:r w:rsidRPr="00B65A3F">
        <w:rPr>
          <w:rFonts w:ascii="Arial" w:hAnsi="Arial"/>
          <w:b/>
          <w:sz w:val="22"/>
          <w:szCs w:val="22"/>
        </w:rPr>
        <w:t>Strategic Development Plan</w:t>
      </w:r>
    </w:p>
    <w:p w14:paraId="217F9996" w14:textId="60FC1289" w:rsidR="00D36D32" w:rsidRDefault="006747DA" w:rsidP="00DB74E6">
      <w:pPr>
        <w:rPr>
          <w:rFonts w:ascii="Arial" w:hAnsi="Arial"/>
          <w:i/>
          <w:sz w:val="22"/>
          <w:szCs w:val="22"/>
        </w:rPr>
      </w:pPr>
      <w:r>
        <w:rPr>
          <w:rFonts w:ascii="Arial" w:hAnsi="Arial"/>
          <w:sz w:val="22"/>
          <w:szCs w:val="22"/>
        </w:rPr>
        <w:t xml:space="preserve">In line with Section 16 (6) of the </w:t>
      </w:r>
      <w:r w:rsidR="00D41060">
        <w:rPr>
          <w:rFonts w:ascii="Arial" w:hAnsi="Arial"/>
          <w:sz w:val="22"/>
          <w:szCs w:val="22"/>
        </w:rPr>
        <w:t>Town and Country</w:t>
      </w:r>
      <w:r w:rsidR="00FA395A">
        <w:rPr>
          <w:rFonts w:ascii="Arial" w:hAnsi="Arial"/>
          <w:sz w:val="22"/>
          <w:szCs w:val="22"/>
        </w:rPr>
        <w:t xml:space="preserve"> Planning</w:t>
      </w:r>
      <w:r w:rsidR="00D41060">
        <w:rPr>
          <w:rFonts w:ascii="Arial" w:hAnsi="Arial"/>
          <w:sz w:val="22"/>
          <w:szCs w:val="22"/>
        </w:rPr>
        <w:t xml:space="preserve"> (Scotland) </w:t>
      </w:r>
      <w:r w:rsidR="00FA395A">
        <w:rPr>
          <w:rFonts w:ascii="Arial" w:hAnsi="Arial"/>
          <w:sz w:val="22"/>
          <w:szCs w:val="22"/>
        </w:rPr>
        <w:t xml:space="preserve">Act 1997 (as amended by the Planning etc (Scotland) Act 2006), </w:t>
      </w:r>
      <w:r w:rsidR="00C751AF">
        <w:rPr>
          <w:rFonts w:ascii="Arial" w:hAnsi="Arial"/>
          <w:sz w:val="22"/>
          <w:szCs w:val="22"/>
        </w:rPr>
        <w:t xml:space="preserve">in preparing an LDP, </w:t>
      </w:r>
      <w:r w:rsidR="002B155A">
        <w:rPr>
          <w:rFonts w:ascii="Arial" w:hAnsi="Arial"/>
          <w:sz w:val="22"/>
          <w:szCs w:val="22"/>
        </w:rPr>
        <w:t xml:space="preserve">the planning authority </w:t>
      </w:r>
      <w:r w:rsidR="00C751AF">
        <w:rPr>
          <w:rFonts w:ascii="Arial" w:hAnsi="Arial"/>
          <w:sz w:val="22"/>
          <w:szCs w:val="22"/>
        </w:rPr>
        <w:t>is to “</w:t>
      </w:r>
      <w:r w:rsidR="00C751AF" w:rsidRPr="00D61A94">
        <w:rPr>
          <w:rFonts w:ascii="Arial" w:hAnsi="Arial"/>
          <w:i/>
          <w:sz w:val="22"/>
          <w:szCs w:val="22"/>
        </w:rPr>
        <w:t xml:space="preserve">ensure that the plan prepared is consistent </w:t>
      </w:r>
      <w:r w:rsidR="00D61A94" w:rsidRPr="00D61A94">
        <w:rPr>
          <w:rFonts w:ascii="Arial" w:hAnsi="Arial"/>
          <w:i/>
          <w:sz w:val="22"/>
          <w:szCs w:val="22"/>
        </w:rPr>
        <w:t>with the strategic development plan”.</w:t>
      </w:r>
    </w:p>
    <w:p w14:paraId="4160059C" w14:textId="1BC40478" w:rsidR="00D61A94" w:rsidRDefault="00D61A94" w:rsidP="00DB74E6">
      <w:pPr>
        <w:rPr>
          <w:rFonts w:ascii="Arial" w:hAnsi="Arial"/>
          <w:sz w:val="22"/>
          <w:szCs w:val="22"/>
        </w:rPr>
      </w:pPr>
    </w:p>
    <w:p w14:paraId="49EC3E6B" w14:textId="27E6BCEB" w:rsidR="00D61A94" w:rsidRDefault="00D61A94" w:rsidP="00DB74E6">
      <w:pPr>
        <w:rPr>
          <w:rFonts w:ascii="Arial" w:hAnsi="Arial"/>
          <w:sz w:val="22"/>
          <w:szCs w:val="22"/>
        </w:rPr>
      </w:pPr>
      <w:r>
        <w:rPr>
          <w:rFonts w:ascii="Arial" w:hAnsi="Arial"/>
          <w:sz w:val="22"/>
          <w:szCs w:val="22"/>
        </w:rPr>
        <w:t xml:space="preserve">Homes for Scotland is therefore surprised that Scottish Borders Council has taken the </w:t>
      </w:r>
      <w:r w:rsidR="00695FA7">
        <w:rPr>
          <w:rFonts w:ascii="Arial" w:hAnsi="Arial"/>
          <w:sz w:val="22"/>
          <w:szCs w:val="22"/>
        </w:rPr>
        <w:t xml:space="preserve">decision to prepare, publish and consult on </w:t>
      </w:r>
      <w:r w:rsidR="00D13E26">
        <w:rPr>
          <w:rFonts w:ascii="Arial" w:hAnsi="Arial"/>
          <w:sz w:val="22"/>
          <w:szCs w:val="22"/>
        </w:rPr>
        <w:t>its</w:t>
      </w:r>
      <w:r w:rsidR="00064104">
        <w:rPr>
          <w:rFonts w:ascii="Arial" w:hAnsi="Arial"/>
          <w:sz w:val="22"/>
          <w:szCs w:val="22"/>
        </w:rPr>
        <w:t xml:space="preserve"> MIR </w:t>
      </w:r>
      <w:r w:rsidR="00695FA7">
        <w:rPr>
          <w:rFonts w:ascii="Arial" w:hAnsi="Arial"/>
          <w:sz w:val="22"/>
          <w:szCs w:val="22"/>
        </w:rPr>
        <w:t xml:space="preserve">as the first statutory stage of its new LDP at this time without an approved Strategic </w:t>
      </w:r>
      <w:r w:rsidR="00B65A3F">
        <w:rPr>
          <w:rFonts w:ascii="Arial" w:hAnsi="Arial"/>
          <w:sz w:val="22"/>
          <w:szCs w:val="22"/>
        </w:rPr>
        <w:t>Development</w:t>
      </w:r>
      <w:r w:rsidR="00695FA7">
        <w:rPr>
          <w:rFonts w:ascii="Arial" w:hAnsi="Arial"/>
          <w:sz w:val="22"/>
          <w:szCs w:val="22"/>
        </w:rPr>
        <w:t xml:space="preserve"> Plan (SDP) in place.</w:t>
      </w:r>
      <w:r w:rsidR="00064104">
        <w:rPr>
          <w:rFonts w:ascii="Arial" w:hAnsi="Arial"/>
          <w:sz w:val="22"/>
          <w:szCs w:val="22"/>
        </w:rPr>
        <w:t xml:space="preserve">  Homes for Scotland believes that the publication of the MIR is premature</w:t>
      </w:r>
      <w:r w:rsidR="00B562B5">
        <w:rPr>
          <w:rFonts w:ascii="Arial" w:hAnsi="Arial"/>
          <w:sz w:val="22"/>
          <w:szCs w:val="22"/>
        </w:rPr>
        <w:t xml:space="preserve"> and when SESplan2 SDP is approved, it will have to be amended accordingly.</w:t>
      </w:r>
    </w:p>
    <w:p w14:paraId="764277D5" w14:textId="6EFC1379" w:rsidR="000738A7" w:rsidRDefault="000738A7" w:rsidP="00DB74E6">
      <w:pPr>
        <w:rPr>
          <w:rFonts w:ascii="Arial" w:hAnsi="Arial"/>
          <w:sz w:val="22"/>
          <w:szCs w:val="22"/>
        </w:rPr>
      </w:pPr>
    </w:p>
    <w:p w14:paraId="02BF7D4E" w14:textId="3E5D8B09" w:rsidR="00FB6CF6" w:rsidRDefault="00506187" w:rsidP="00DB74E6">
      <w:pPr>
        <w:rPr>
          <w:rFonts w:ascii="Arial" w:hAnsi="Arial"/>
          <w:sz w:val="22"/>
          <w:szCs w:val="22"/>
        </w:rPr>
      </w:pPr>
      <w:r>
        <w:rPr>
          <w:rFonts w:ascii="Arial" w:hAnsi="Arial"/>
          <w:sz w:val="22"/>
          <w:szCs w:val="22"/>
        </w:rPr>
        <w:t xml:space="preserve">The necessary amendments to the number of new homes that require to be delivered over the LDP plan period </w:t>
      </w:r>
      <w:r w:rsidR="00721FE6">
        <w:rPr>
          <w:rFonts w:ascii="Arial" w:hAnsi="Arial"/>
          <w:sz w:val="22"/>
          <w:szCs w:val="22"/>
        </w:rPr>
        <w:t xml:space="preserve">after the approval of SESplan2 by Scottish Ministers in due course, will substantially change the </w:t>
      </w:r>
      <w:r w:rsidR="001F2F4B">
        <w:rPr>
          <w:rFonts w:ascii="Arial" w:hAnsi="Arial"/>
          <w:sz w:val="22"/>
          <w:szCs w:val="22"/>
        </w:rPr>
        <w:t xml:space="preserve">plan’s course.  </w:t>
      </w:r>
      <w:r w:rsidR="00E52E11">
        <w:rPr>
          <w:rFonts w:ascii="Arial" w:hAnsi="Arial"/>
          <w:sz w:val="22"/>
          <w:szCs w:val="22"/>
        </w:rPr>
        <w:t>HFS notes that the Housing Technical Paper states t</w:t>
      </w:r>
      <w:r w:rsidR="00A45A45">
        <w:rPr>
          <w:rFonts w:ascii="Arial" w:hAnsi="Arial"/>
          <w:sz w:val="22"/>
          <w:szCs w:val="22"/>
        </w:rPr>
        <w:t>hat “</w:t>
      </w:r>
      <w:r w:rsidR="00A45A45" w:rsidRPr="00A12DAF">
        <w:rPr>
          <w:rFonts w:ascii="Arial" w:hAnsi="Arial"/>
          <w:i/>
          <w:sz w:val="22"/>
          <w:szCs w:val="22"/>
        </w:rPr>
        <w:t xml:space="preserve">the MIR </w:t>
      </w:r>
      <w:r w:rsidR="003D4E8B" w:rsidRPr="00A12DAF">
        <w:rPr>
          <w:rFonts w:ascii="Arial" w:hAnsi="Arial"/>
          <w:i/>
          <w:sz w:val="22"/>
          <w:szCs w:val="22"/>
        </w:rPr>
        <w:t xml:space="preserve">therefore makes reference to the key parts within the proposed </w:t>
      </w:r>
      <w:proofErr w:type="gramStart"/>
      <w:r w:rsidR="003D4E8B" w:rsidRPr="00A12DAF">
        <w:rPr>
          <w:rFonts w:ascii="Arial" w:hAnsi="Arial"/>
          <w:i/>
          <w:sz w:val="22"/>
          <w:szCs w:val="22"/>
        </w:rPr>
        <w:t>SESplan, and</w:t>
      </w:r>
      <w:proofErr w:type="gramEnd"/>
      <w:r w:rsidR="003D4E8B" w:rsidRPr="00A12DAF">
        <w:rPr>
          <w:rFonts w:ascii="Arial" w:hAnsi="Arial"/>
          <w:i/>
          <w:sz w:val="22"/>
          <w:szCs w:val="22"/>
        </w:rPr>
        <w:t xml:space="preserve"> will take account of the new SESplan as required when it is adopted.</w:t>
      </w:r>
      <w:r w:rsidR="001912E4" w:rsidRPr="00A12DAF">
        <w:rPr>
          <w:rFonts w:ascii="Arial" w:hAnsi="Arial"/>
          <w:i/>
          <w:sz w:val="22"/>
          <w:szCs w:val="22"/>
        </w:rPr>
        <w:t xml:space="preserve">  Once a decision by Ministers is made this Technical Note will be updated and th</w:t>
      </w:r>
      <w:r w:rsidR="00A37E64" w:rsidRPr="00A12DAF">
        <w:rPr>
          <w:rFonts w:ascii="Arial" w:hAnsi="Arial"/>
          <w:i/>
          <w:sz w:val="22"/>
          <w:szCs w:val="22"/>
        </w:rPr>
        <w:t>e identified housing land requirement will be addressed within the new LDP</w:t>
      </w:r>
      <w:r w:rsidR="00A37E64">
        <w:rPr>
          <w:rFonts w:ascii="Arial" w:hAnsi="Arial"/>
          <w:sz w:val="22"/>
          <w:szCs w:val="22"/>
        </w:rPr>
        <w:t xml:space="preserve">”.  </w:t>
      </w:r>
      <w:r w:rsidR="001F2F4B">
        <w:rPr>
          <w:rFonts w:ascii="Arial" w:hAnsi="Arial"/>
          <w:sz w:val="22"/>
          <w:szCs w:val="22"/>
        </w:rPr>
        <w:t>There is no indication within Figure 1 or Figure 4 of the MIR</w:t>
      </w:r>
      <w:r w:rsidR="00762C80">
        <w:rPr>
          <w:rFonts w:ascii="Arial" w:hAnsi="Arial"/>
          <w:sz w:val="22"/>
          <w:szCs w:val="22"/>
        </w:rPr>
        <w:t xml:space="preserve"> as to how the Council will approach this process of updating the LDP in line with the approved SDP</w:t>
      </w:r>
      <w:r w:rsidR="00A9328F">
        <w:rPr>
          <w:rFonts w:ascii="Arial" w:hAnsi="Arial"/>
          <w:sz w:val="22"/>
          <w:szCs w:val="22"/>
        </w:rPr>
        <w:t xml:space="preserve">, and critically for members of the public and any stakeholders, how the Council intends to consult on these amendments.  Will there be an updated MIR published? Or does the Council intend to </w:t>
      </w:r>
      <w:r w:rsidR="0046049A">
        <w:rPr>
          <w:rFonts w:ascii="Arial" w:hAnsi="Arial"/>
          <w:sz w:val="22"/>
          <w:szCs w:val="22"/>
        </w:rPr>
        <w:t xml:space="preserve">update the housing numbers and allocations as part of the preparation of the Proposed Plan?  </w:t>
      </w:r>
      <w:r w:rsidR="00A9328F">
        <w:rPr>
          <w:rFonts w:ascii="Arial" w:hAnsi="Arial"/>
          <w:sz w:val="22"/>
          <w:szCs w:val="22"/>
        </w:rPr>
        <w:t xml:space="preserve"> </w:t>
      </w:r>
      <w:r w:rsidR="00A37E64">
        <w:rPr>
          <w:rFonts w:ascii="Arial" w:hAnsi="Arial"/>
          <w:sz w:val="22"/>
          <w:szCs w:val="22"/>
        </w:rPr>
        <w:t>Critically, there is no reference at all to how thi</w:t>
      </w:r>
      <w:r w:rsidR="00A12DAF">
        <w:rPr>
          <w:rFonts w:ascii="Arial" w:hAnsi="Arial"/>
          <w:sz w:val="22"/>
          <w:szCs w:val="22"/>
        </w:rPr>
        <w:t>s update will be consulted on.</w:t>
      </w:r>
    </w:p>
    <w:p w14:paraId="25ABC06C" w14:textId="4901B524" w:rsidR="00C41D49" w:rsidRDefault="00C41D49" w:rsidP="00DB74E6">
      <w:pPr>
        <w:rPr>
          <w:rFonts w:ascii="Arial" w:hAnsi="Arial"/>
          <w:sz w:val="22"/>
          <w:szCs w:val="22"/>
        </w:rPr>
      </w:pPr>
    </w:p>
    <w:p w14:paraId="4D43B5A5" w14:textId="3B8AF77A" w:rsidR="00A9328F" w:rsidRDefault="00C41D49" w:rsidP="00DB74E6">
      <w:pPr>
        <w:rPr>
          <w:rFonts w:ascii="Arial" w:hAnsi="Arial"/>
          <w:sz w:val="22"/>
          <w:szCs w:val="22"/>
        </w:rPr>
      </w:pPr>
      <w:r>
        <w:rPr>
          <w:rFonts w:ascii="Arial" w:hAnsi="Arial"/>
          <w:sz w:val="22"/>
          <w:szCs w:val="22"/>
        </w:rPr>
        <w:t xml:space="preserve">HFS notes that the MIR is the main stage for engagement in the preparation of an LDP.  Once a Proposed Plan has been published, it is the settled will of that authority, therefore there is limited </w:t>
      </w:r>
      <w:r>
        <w:rPr>
          <w:rFonts w:ascii="Arial" w:hAnsi="Arial"/>
          <w:sz w:val="22"/>
          <w:szCs w:val="22"/>
        </w:rPr>
        <w:lastRenderedPageBreak/>
        <w:t xml:space="preserve">scope for amendment at this stage, despite the opportunity for comment.  It is therefore essential that the MIR deals with the HST and HLR for the new </w:t>
      </w:r>
      <w:r w:rsidR="000666E8">
        <w:rPr>
          <w:rFonts w:ascii="Arial" w:hAnsi="Arial"/>
          <w:sz w:val="22"/>
          <w:szCs w:val="22"/>
        </w:rPr>
        <w:t>LDP and</w:t>
      </w:r>
      <w:r>
        <w:rPr>
          <w:rFonts w:ascii="Arial" w:hAnsi="Arial"/>
          <w:sz w:val="22"/>
          <w:szCs w:val="22"/>
        </w:rPr>
        <w:t xml:space="preserve"> </w:t>
      </w:r>
      <w:bookmarkStart w:id="0" w:name="_GoBack"/>
      <w:bookmarkEnd w:id="0"/>
      <w:r>
        <w:rPr>
          <w:rFonts w:ascii="Arial" w:hAnsi="Arial"/>
          <w:sz w:val="22"/>
          <w:szCs w:val="22"/>
        </w:rPr>
        <w:t xml:space="preserve">goes on to assess the preferred and alternative ways of delivering this housing requirement through housing allocations. This should not be carried out at Proposed Plan stage.  </w:t>
      </w:r>
    </w:p>
    <w:p w14:paraId="3E1126F5" w14:textId="77777777" w:rsidR="00A9328F" w:rsidRDefault="00A9328F" w:rsidP="00DB74E6">
      <w:pPr>
        <w:rPr>
          <w:rFonts w:ascii="Arial" w:hAnsi="Arial"/>
          <w:sz w:val="22"/>
          <w:szCs w:val="22"/>
        </w:rPr>
      </w:pPr>
    </w:p>
    <w:p w14:paraId="283068B7" w14:textId="77777777" w:rsidR="009D545D" w:rsidRDefault="009D545D" w:rsidP="00DB74E6">
      <w:pPr>
        <w:rPr>
          <w:rFonts w:ascii="Arial" w:hAnsi="Arial"/>
          <w:i/>
          <w:sz w:val="22"/>
          <w:szCs w:val="22"/>
        </w:rPr>
      </w:pPr>
      <w:r>
        <w:rPr>
          <w:rFonts w:ascii="Arial" w:hAnsi="Arial"/>
          <w:sz w:val="22"/>
          <w:szCs w:val="22"/>
        </w:rPr>
        <w:t xml:space="preserve">Indeed, </w:t>
      </w:r>
      <w:r w:rsidR="008F633B">
        <w:rPr>
          <w:rFonts w:ascii="Arial" w:hAnsi="Arial"/>
          <w:sz w:val="22"/>
          <w:szCs w:val="22"/>
        </w:rPr>
        <w:t xml:space="preserve">Circular </w:t>
      </w:r>
      <w:r w:rsidR="00404257">
        <w:rPr>
          <w:rFonts w:ascii="Arial" w:hAnsi="Arial"/>
          <w:sz w:val="22"/>
          <w:szCs w:val="22"/>
        </w:rPr>
        <w:t>6/2013</w:t>
      </w:r>
      <w:r w:rsidR="00827B7D">
        <w:rPr>
          <w:rFonts w:ascii="Arial" w:hAnsi="Arial"/>
          <w:sz w:val="22"/>
          <w:szCs w:val="22"/>
        </w:rPr>
        <w:t xml:space="preserve">: Development Planning states </w:t>
      </w:r>
      <w:r w:rsidR="0041783D">
        <w:rPr>
          <w:rFonts w:ascii="Arial" w:hAnsi="Arial"/>
          <w:sz w:val="22"/>
          <w:szCs w:val="22"/>
        </w:rPr>
        <w:t xml:space="preserve">in the section on the LDP Proposed Plan </w:t>
      </w:r>
      <w:r w:rsidR="00827B7D">
        <w:rPr>
          <w:rFonts w:ascii="Arial" w:hAnsi="Arial"/>
          <w:sz w:val="22"/>
          <w:szCs w:val="22"/>
        </w:rPr>
        <w:t>(paragraph 80) that</w:t>
      </w:r>
      <w:r w:rsidR="008E3303">
        <w:rPr>
          <w:rFonts w:ascii="Arial" w:hAnsi="Arial"/>
          <w:sz w:val="22"/>
          <w:szCs w:val="22"/>
        </w:rPr>
        <w:t xml:space="preserve"> “</w:t>
      </w:r>
      <w:r w:rsidR="008E3303" w:rsidRPr="00A55DFC">
        <w:rPr>
          <w:rFonts w:ascii="Arial" w:hAnsi="Arial"/>
          <w:i/>
          <w:sz w:val="22"/>
          <w:szCs w:val="22"/>
        </w:rPr>
        <w:t xml:space="preserve">planning authorities should be able to demonstrate the underlying reasons for their preferred development locations and policies.  This stage </w:t>
      </w:r>
      <w:r w:rsidR="00A86AD3" w:rsidRPr="00A55DFC">
        <w:rPr>
          <w:rFonts w:ascii="Arial" w:hAnsi="Arial"/>
          <w:i/>
          <w:sz w:val="22"/>
          <w:szCs w:val="22"/>
        </w:rPr>
        <w:t>should not be used to ‘test the water’: new or controversial elements of plan content should already have been aired at the Main Issues Report stage (at least as reasonable altern</w:t>
      </w:r>
      <w:r w:rsidR="00FF7A72" w:rsidRPr="00A55DFC">
        <w:rPr>
          <w:rFonts w:ascii="Arial" w:hAnsi="Arial"/>
          <w:i/>
          <w:sz w:val="22"/>
          <w:szCs w:val="22"/>
        </w:rPr>
        <w:t xml:space="preserve">atives).  If a </w:t>
      </w:r>
      <w:proofErr w:type="gramStart"/>
      <w:r w:rsidR="00FF7A72" w:rsidRPr="00A55DFC">
        <w:rPr>
          <w:rFonts w:ascii="Arial" w:hAnsi="Arial"/>
          <w:i/>
          <w:sz w:val="22"/>
          <w:szCs w:val="22"/>
        </w:rPr>
        <w:t>particular issue</w:t>
      </w:r>
      <w:proofErr w:type="gramEnd"/>
      <w:r w:rsidR="00FF7A72" w:rsidRPr="00A55DFC">
        <w:rPr>
          <w:rFonts w:ascii="Arial" w:hAnsi="Arial"/>
          <w:i/>
          <w:sz w:val="22"/>
          <w:szCs w:val="22"/>
        </w:rPr>
        <w:t xml:space="preserve"> or site arises that was not consulted on in the MIR, the planning authority may need to carry out further consultation on that particular issue</w:t>
      </w:r>
      <w:r w:rsidR="00753F1E" w:rsidRPr="00A55DFC">
        <w:rPr>
          <w:rFonts w:ascii="Arial" w:hAnsi="Arial"/>
          <w:i/>
          <w:sz w:val="22"/>
          <w:szCs w:val="22"/>
        </w:rPr>
        <w:t xml:space="preserve"> before publishing its Proposed Plan, if it wants to include it in the plan</w:t>
      </w:r>
      <w:r>
        <w:rPr>
          <w:rFonts w:ascii="Arial" w:hAnsi="Arial"/>
          <w:i/>
          <w:sz w:val="22"/>
          <w:szCs w:val="22"/>
        </w:rPr>
        <w:t>…”</w:t>
      </w:r>
    </w:p>
    <w:p w14:paraId="510E6954" w14:textId="77777777" w:rsidR="009D545D" w:rsidRDefault="009D545D" w:rsidP="00DB74E6">
      <w:pPr>
        <w:rPr>
          <w:rFonts w:ascii="Arial" w:hAnsi="Arial"/>
          <w:i/>
          <w:sz w:val="22"/>
          <w:szCs w:val="22"/>
        </w:rPr>
      </w:pPr>
    </w:p>
    <w:p w14:paraId="7A930809" w14:textId="07663BA7" w:rsidR="0041783D" w:rsidRDefault="009D545D" w:rsidP="00DB74E6">
      <w:pPr>
        <w:rPr>
          <w:rFonts w:ascii="Arial" w:hAnsi="Arial"/>
          <w:sz w:val="22"/>
          <w:szCs w:val="22"/>
        </w:rPr>
      </w:pPr>
      <w:r w:rsidRPr="009D545D">
        <w:rPr>
          <w:rFonts w:ascii="Arial" w:hAnsi="Arial"/>
          <w:sz w:val="22"/>
          <w:szCs w:val="22"/>
        </w:rPr>
        <w:t>We therefore request that the Council provides further detail to all stakeholders and members of the public on how it will</w:t>
      </w:r>
      <w:r>
        <w:rPr>
          <w:rFonts w:ascii="Arial" w:hAnsi="Arial"/>
          <w:i/>
          <w:sz w:val="22"/>
          <w:szCs w:val="22"/>
        </w:rPr>
        <w:t xml:space="preserve"> </w:t>
      </w:r>
      <w:r>
        <w:rPr>
          <w:rFonts w:ascii="Arial" w:hAnsi="Arial"/>
          <w:sz w:val="22"/>
          <w:szCs w:val="22"/>
        </w:rPr>
        <w:t xml:space="preserve">provide appropriate opportunity for any interested party to provide representations on an amended MIR at such time as the SDP is approved and there is clarity </w:t>
      </w:r>
      <w:r w:rsidR="00BD579B">
        <w:rPr>
          <w:rFonts w:ascii="Arial" w:hAnsi="Arial"/>
          <w:sz w:val="22"/>
          <w:szCs w:val="22"/>
        </w:rPr>
        <w:t>on all aspects of detail within the SDP that the LDP is required, by statute, to be consistent with.</w:t>
      </w:r>
    </w:p>
    <w:p w14:paraId="780B1DD4" w14:textId="5D8435A4" w:rsidR="00922A07" w:rsidRPr="009C15B3" w:rsidRDefault="00922A07" w:rsidP="00DB74E6">
      <w:pPr>
        <w:rPr>
          <w:rFonts w:ascii="Arial" w:hAnsi="Arial"/>
          <w:sz w:val="22"/>
          <w:szCs w:val="22"/>
        </w:rPr>
      </w:pPr>
    </w:p>
    <w:p w14:paraId="3CED1160" w14:textId="25690D65" w:rsidR="00922A07" w:rsidRPr="009C15B3" w:rsidRDefault="00922A07" w:rsidP="00922A07">
      <w:pPr>
        <w:rPr>
          <w:rFonts w:ascii="Arial" w:hAnsi="Arial"/>
          <w:sz w:val="22"/>
          <w:szCs w:val="22"/>
        </w:rPr>
      </w:pPr>
      <w:r w:rsidRPr="009C15B3">
        <w:rPr>
          <w:rFonts w:ascii="Arial" w:hAnsi="Arial"/>
          <w:sz w:val="22"/>
          <w:szCs w:val="22"/>
        </w:rPr>
        <w:t xml:space="preserve">City of Edinburgh Council was due to publish its MIR on a similar timescale to the Scottish Borders, </w:t>
      </w:r>
      <w:r w:rsidR="009C15B3" w:rsidRPr="009C15B3">
        <w:rPr>
          <w:rFonts w:ascii="Arial" w:hAnsi="Arial"/>
          <w:sz w:val="22"/>
          <w:szCs w:val="22"/>
        </w:rPr>
        <w:t>however,</w:t>
      </w:r>
      <w:r w:rsidRPr="009C15B3">
        <w:rPr>
          <w:rFonts w:ascii="Arial" w:hAnsi="Arial"/>
          <w:sz w:val="22"/>
          <w:szCs w:val="22"/>
        </w:rPr>
        <w:t xml:space="preserve"> has taken the decision to delay the finalisation of their MIR and subsequent consultation period until SESplan 2 has been approved by Scottish Ministers. Homes for Scotland supports this approach.  </w:t>
      </w:r>
    </w:p>
    <w:p w14:paraId="340AB683" w14:textId="77777777" w:rsidR="00922A07" w:rsidRPr="009C15B3" w:rsidRDefault="00922A07" w:rsidP="00DB74E6">
      <w:pPr>
        <w:rPr>
          <w:rFonts w:ascii="Arial" w:hAnsi="Arial"/>
          <w:sz w:val="22"/>
          <w:szCs w:val="22"/>
        </w:rPr>
      </w:pPr>
    </w:p>
    <w:p w14:paraId="6B6A3064" w14:textId="63CF5BE5" w:rsidR="00FB42EC" w:rsidRDefault="00FB42EC" w:rsidP="00DB74E6">
      <w:pPr>
        <w:rPr>
          <w:rFonts w:ascii="Arial" w:hAnsi="Arial"/>
          <w:sz w:val="22"/>
          <w:szCs w:val="22"/>
        </w:rPr>
      </w:pPr>
    </w:p>
    <w:p w14:paraId="25054BDE" w14:textId="5F92BBF6" w:rsidR="00FB42EC" w:rsidRPr="002E7269" w:rsidRDefault="00506187" w:rsidP="00DB74E6">
      <w:pPr>
        <w:rPr>
          <w:rFonts w:ascii="Arial" w:hAnsi="Arial"/>
          <w:b/>
          <w:sz w:val="22"/>
          <w:szCs w:val="22"/>
        </w:rPr>
      </w:pPr>
      <w:r w:rsidRPr="002E7269">
        <w:rPr>
          <w:rFonts w:ascii="Arial" w:hAnsi="Arial"/>
          <w:b/>
          <w:sz w:val="22"/>
          <w:szCs w:val="22"/>
        </w:rPr>
        <w:t>Planning for Housing</w:t>
      </w:r>
    </w:p>
    <w:p w14:paraId="21A7C1F8" w14:textId="07857CD9" w:rsidR="00742747" w:rsidRDefault="00A55DFC" w:rsidP="00A55DFC">
      <w:pPr>
        <w:rPr>
          <w:rFonts w:ascii="Arial" w:hAnsi="Arial"/>
          <w:sz w:val="22"/>
          <w:szCs w:val="22"/>
        </w:rPr>
      </w:pPr>
      <w:r>
        <w:rPr>
          <w:rFonts w:ascii="Arial" w:hAnsi="Arial"/>
          <w:sz w:val="22"/>
          <w:szCs w:val="22"/>
        </w:rPr>
        <w:t>A key issue for any development plan is the delivery of homes</w:t>
      </w:r>
      <w:r w:rsidR="00742747">
        <w:rPr>
          <w:rFonts w:ascii="Arial" w:hAnsi="Arial"/>
          <w:sz w:val="22"/>
          <w:szCs w:val="22"/>
        </w:rPr>
        <w:t>, and this will always form a significant part of any MIR.</w:t>
      </w:r>
      <w:r w:rsidR="004854DC">
        <w:rPr>
          <w:rFonts w:ascii="Arial" w:hAnsi="Arial"/>
          <w:sz w:val="22"/>
          <w:szCs w:val="22"/>
        </w:rPr>
        <w:t xml:space="preserve">  </w:t>
      </w:r>
      <w:r w:rsidR="00396C01">
        <w:rPr>
          <w:rFonts w:ascii="Arial" w:hAnsi="Arial"/>
          <w:sz w:val="22"/>
          <w:szCs w:val="22"/>
        </w:rPr>
        <w:t>This section outlines a number of issues with drafting this</w:t>
      </w:r>
      <w:r w:rsidR="00520A16">
        <w:rPr>
          <w:rFonts w:ascii="Arial" w:hAnsi="Arial"/>
          <w:sz w:val="22"/>
          <w:szCs w:val="22"/>
        </w:rPr>
        <w:t xml:space="preserve"> </w:t>
      </w:r>
      <w:r w:rsidR="00396C01">
        <w:rPr>
          <w:rFonts w:ascii="Arial" w:hAnsi="Arial"/>
          <w:sz w:val="22"/>
          <w:szCs w:val="22"/>
        </w:rPr>
        <w:t>chapter of the MIR at this stage.</w:t>
      </w:r>
    </w:p>
    <w:p w14:paraId="50362EE9" w14:textId="6B88A67D" w:rsidR="00783E43" w:rsidRDefault="00783E43" w:rsidP="00A55DFC">
      <w:pPr>
        <w:rPr>
          <w:rFonts w:ascii="Arial" w:hAnsi="Arial"/>
          <w:sz w:val="22"/>
          <w:szCs w:val="22"/>
        </w:rPr>
      </w:pPr>
    </w:p>
    <w:p w14:paraId="6D392F9B" w14:textId="55FA4752" w:rsidR="00155195" w:rsidRPr="00D82073" w:rsidRDefault="00E71292" w:rsidP="00A55DFC">
      <w:pPr>
        <w:rPr>
          <w:rFonts w:ascii="Arial" w:hAnsi="Arial"/>
          <w:sz w:val="22"/>
          <w:szCs w:val="22"/>
          <w:u w:val="single"/>
        </w:rPr>
      </w:pPr>
      <w:r w:rsidRPr="00D82073">
        <w:rPr>
          <w:rFonts w:ascii="Arial" w:hAnsi="Arial"/>
          <w:sz w:val="22"/>
          <w:szCs w:val="22"/>
          <w:u w:val="single"/>
        </w:rPr>
        <w:t xml:space="preserve">LDP </w:t>
      </w:r>
      <w:r w:rsidR="00155195" w:rsidRPr="00D82073">
        <w:rPr>
          <w:rFonts w:ascii="Arial" w:hAnsi="Arial"/>
          <w:sz w:val="22"/>
          <w:szCs w:val="22"/>
          <w:u w:val="single"/>
        </w:rPr>
        <w:t>Plan Period</w:t>
      </w:r>
    </w:p>
    <w:p w14:paraId="483859A9" w14:textId="77777777" w:rsidR="00E71292" w:rsidRPr="00D82073" w:rsidRDefault="00C95DAE" w:rsidP="00C95DAE">
      <w:pPr>
        <w:rPr>
          <w:rFonts w:ascii="Arial" w:hAnsi="Arial"/>
          <w:sz w:val="22"/>
          <w:szCs w:val="22"/>
        </w:rPr>
      </w:pPr>
      <w:r w:rsidRPr="00D82073">
        <w:rPr>
          <w:rFonts w:ascii="Arial" w:hAnsi="Arial"/>
          <w:sz w:val="22"/>
          <w:szCs w:val="22"/>
        </w:rPr>
        <w:t xml:space="preserve">Fundamental to the ‘Planning for Housing’ Chapter of the MIR must be </w:t>
      </w:r>
      <w:r w:rsidR="001B3CF1" w:rsidRPr="00D82073">
        <w:rPr>
          <w:rFonts w:ascii="Arial" w:hAnsi="Arial"/>
          <w:sz w:val="22"/>
          <w:szCs w:val="22"/>
        </w:rPr>
        <w:t xml:space="preserve">the timeframe </w:t>
      </w:r>
      <w:r w:rsidR="00E71292" w:rsidRPr="00D82073">
        <w:rPr>
          <w:rFonts w:ascii="Arial" w:hAnsi="Arial"/>
          <w:sz w:val="22"/>
          <w:szCs w:val="22"/>
        </w:rPr>
        <w:t xml:space="preserve">covered by the Plan.  </w:t>
      </w:r>
      <w:r w:rsidRPr="00D82073">
        <w:rPr>
          <w:rFonts w:ascii="Arial" w:hAnsi="Arial"/>
          <w:sz w:val="22"/>
          <w:szCs w:val="22"/>
        </w:rPr>
        <w:t>Paragraph 119 of Scottish Planning Policy requires that a</w:t>
      </w:r>
      <w:r w:rsidR="00E71292" w:rsidRPr="00D82073">
        <w:rPr>
          <w:rFonts w:ascii="Arial" w:hAnsi="Arial"/>
          <w:sz w:val="22"/>
          <w:szCs w:val="22"/>
        </w:rPr>
        <w:t>n LDP</w:t>
      </w:r>
      <w:r w:rsidRPr="00D82073">
        <w:rPr>
          <w:rFonts w:ascii="Arial" w:hAnsi="Arial"/>
          <w:sz w:val="22"/>
          <w:szCs w:val="22"/>
        </w:rPr>
        <w:t xml:space="preserve"> within a city region allocates “</w:t>
      </w:r>
      <w:r w:rsidRPr="00D82073">
        <w:rPr>
          <w:rFonts w:ascii="Arial" w:hAnsi="Arial"/>
          <w:i/>
          <w:sz w:val="22"/>
          <w:szCs w:val="22"/>
        </w:rPr>
        <w:t>a range of sites which are effective or expected to become effective in the plan period to meet the housing land requirement of the strategic development plan up to year 10 from the expected year of adoption</w:t>
      </w:r>
      <w:r w:rsidRPr="00D82073">
        <w:rPr>
          <w:rFonts w:ascii="Arial" w:hAnsi="Arial"/>
          <w:sz w:val="22"/>
          <w:szCs w:val="22"/>
        </w:rPr>
        <w:t xml:space="preserve">”. </w:t>
      </w:r>
    </w:p>
    <w:p w14:paraId="5A7D87F9" w14:textId="77777777" w:rsidR="00E71292" w:rsidRPr="00D82073" w:rsidRDefault="00E71292" w:rsidP="00C95DAE">
      <w:pPr>
        <w:rPr>
          <w:rFonts w:ascii="Arial" w:hAnsi="Arial"/>
          <w:sz w:val="22"/>
          <w:szCs w:val="22"/>
        </w:rPr>
      </w:pPr>
    </w:p>
    <w:p w14:paraId="387D32BC" w14:textId="0C690332" w:rsidR="00C95DAE" w:rsidRPr="00D82073" w:rsidRDefault="00C95DAE" w:rsidP="00C95DAE">
      <w:pPr>
        <w:rPr>
          <w:rFonts w:ascii="Arial" w:hAnsi="Arial"/>
          <w:sz w:val="22"/>
          <w:szCs w:val="22"/>
        </w:rPr>
      </w:pPr>
      <w:r w:rsidRPr="00D82073">
        <w:rPr>
          <w:rFonts w:ascii="Arial" w:hAnsi="Arial"/>
          <w:sz w:val="22"/>
          <w:szCs w:val="22"/>
        </w:rPr>
        <w:t>The Housing Technical Note confirms (page 2, paragraph 3) that the expected year of adoption of the Scottish Borders LDP2 is 2021/22.  Therefore</w:t>
      </w:r>
      <w:r w:rsidR="00E71292" w:rsidRPr="00D82073">
        <w:rPr>
          <w:rFonts w:ascii="Arial" w:hAnsi="Arial"/>
          <w:sz w:val="22"/>
          <w:szCs w:val="22"/>
        </w:rPr>
        <w:t>,</w:t>
      </w:r>
      <w:r w:rsidRPr="00D82073">
        <w:rPr>
          <w:rFonts w:ascii="Arial" w:hAnsi="Arial"/>
          <w:sz w:val="22"/>
          <w:szCs w:val="22"/>
        </w:rPr>
        <w:t xml:space="preserve"> the relevant 10</w:t>
      </w:r>
      <w:r w:rsidR="00E71292" w:rsidRPr="00D82073">
        <w:rPr>
          <w:rFonts w:ascii="Arial" w:hAnsi="Arial"/>
          <w:sz w:val="22"/>
          <w:szCs w:val="22"/>
        </w:rPr>
        <w:t>-</w:t>
      </w:r>
      <w:r w:rsidRPr="00D82073">
        <w:rPr>
          <w:rFonts w:ascii="Arial" w:hAnsi="Arial"/>
          <w:sz w:val="22"/>
          <w:szCs w:val="22"/>
        </w:rPr>
        <w:t>year plan period for the LDP is 2021/22 – 2030/31.</w:t>
      </w:r>
      <w:r w:rsidR="00E71292" w:rsidRPr="00D82073">
        <w:rPr>
          <w:rFonts w:ascii="Arial" w:hAnsi="Arial"/>
          <w:sz w:val="22"/>
          <w:szCs w:val="22"/>
        </w:rPr>
        <w:t xml:space="preserve"> Homes for Scotland does not dispute this</w:t>
      </w:r>
      <w:r w:rsidR="00D14405" w:rsidRPr="00D82073">
        <w:rPr>
          <w:rFonts w:ascii="Arial" w:hAnsi="Arial"/>
          <w:sz w:val="22"/>
          <w:szCs w:val="22"/>
        </w:rPr>
        <w:t xml:space="preserve">, however would note that there may be significant delays to the plan making process as a result of the delays in the approval of SESplan2, therefore a review of the programme of approval of the Scottish Borders LDP may be required to ensure that timescales have not slipped such that the expected </w:t>
      </w:r>
      <w:r w:rsidR="00D82073" w:rsidRPr="00D82073">
        <w:rPr>
          <w:rFonts w:ascii="Arial" w:hAnsi="Arial"/>
          <w:sz w:val="22"/>
          <w:szCs w:val="22"/>
        </w:rPr>
        <w:t>year of adoption has now been pushed to 2022/23 meaning the plan period for the LDP would have to be amended to 2022/23 – 2031/32.</w:t>
      </w:r>
    </w:p>
    <w:p w14:paraId="1F4AADD3" w14:textId="0EFB3BEA" w:rsidR="00E71292" w:rsidRDefault="00E71292" w:rsidP="00C95DAE">
      <w:pPr>
        <w:rPr>
          <w:rFonts w:ascii="Arial" w:hAnsi="Arial"/>
          <w:sz w:val="20"/>
        </w:rPr>
      </w:pPr>
    </w:p>
    <w:p w14:paraId="573645B1" w14:textId="40A0EAA7" w:rsidR="00E71292" w:rsidRPr="00426787" w:rsidRDefault="00E71292" w:rsidP="00C95DAE">
      <w:pPr>
        <w:rPr>
          <w:rFonts w:ascii="Arial" w:hAnsi="Arial"/>
          <w:sz w:val="22"/>
          <w:szCs w:val="22"/>
          <w:u w:val="single"/>
        </w:rPr>
      </w:pPr>
      <w:r w:rsidRPr="00426787">
        <w:rPr>
          <w:rFonts w:ascii="Arial" w:hAnsi="Arial"/>
          <w:sz w:val="22"/>
          <w:szCs w:val="22"/>
          <w:u w:val="single"/>
        </w:rPr>
        <w:t>SDP Plan Period</w:t>
      </w:r>
    </w:p>
    <w:p w14:paraId="468831F5" w14:textId="3D7A8DC2" w:rsidR="005E5144" w:rsidRPr="00426787" w:rsidRDefault="00E71292" w:rsidP="00C95DAE">
      <w:pPr>
        <w:rPr>
          <w:rFonts w:ascii="Arial" w:hAnsi="Arial"/>
          <w:sz w:val="22"/>
          <w:szCs w:val="22"/>
        </w:rPr>
      </w:pPr>
      <w:r w:rsidRPr="00426787">
        <w:rPr>
          <w:rFonts w:ascii="Arial" w:hAnsi="Arial"/>
          <w:sz w:val="22"/>
          <w:szCs w:val="22"/>
        </w:rPr>
        <w:t xml:space="preserve">Beyond understanding the LDP plan period, </w:t>
      </w:r>
      <w:r w:rsidR="0031218E" w:rsidRPr="00426787">
        <w:rPr>
          <w:rFonts w:ascii="Arial" w:hAnsi="Arial"/>
          <w:sz w:val="22"/>
          <w:szCs w:val="22"/>
        </w:rPr>
        <w:t>it becomes far more difficult to progress with a chapter on ‘Planning for Housing’</w:t>
      </w:r>
      <w:r w:rsidR="005E5144" w:rsidRPr="00426787">
        <w:rPr>
          <w:rFonts w:ascii="Arial" w:hAnsi="Arial"/>
          <w:sz w:val="22"/>
          <w:szCs w:val="22"/>
        </w:rPr>
        <w:t xml:space="preserve"> w</w:t>
      </w:r>
      <w:r w:rsidR="0031218E" w:rsidRPr="00426787">
        <w:rPr>
          <w:rFonts w:ascii="Arial" w:hAnsi="Arial"/>
          <w:sz w:val="22"/>
          <w:szCs w:val="22"/>
        </w:rPr>
        <w:t>ithout an approved SDP</w:t>
      </w:r>
      <w:r w:rsidR="005E5144" w:rsidRPr="00426787">
        <w:rPr>
          <w:rFonts w:ascii="Arial" w:hAnsi="Arial"/>
          <w:sz w:val="22"/>
          <w:szCs w:val="22"/>
        </w:rPr>
        <w:t xml:space="preserve">.  </w:t>
      </w:r>
    </w:p>
    <w:p w14:paraId="219D2192" w14:textId="0784F570" w:rsidR="00D82073" w:rsidRPr="00426787" w:rsidRDefault="00D82073" w:rsidP="00C95DAE">
      <w:pPr>
        <w:rPr>
          <w:rFonts w:ascii="Arial" w:hAnsi="Arial"/>
          <w:sz w:val="22"/>
          <w:szCs w:val="22"/>
        </w:rPr>
      </w:pPr>
    </w:p>
    <w:p w14:paraId="12C875E6" w14:textId="359F1D57" w:rsidR="00D82073" w:rsidRPr="00426787" w:rsidRDefault="00D82073" w:rsidP="00C95DAE">
      <w:pPr>
        <w:rPr>
          <w:rFonts w:ascii="Arial" w:hAnsi="Arial"/>
          <w:sz w:val="22"/>
          <w:szCs w:val="22"/>
        </w:rPr>
      </w:pPr>
      <w:r w:rsidRPr="00426787">
        <w:rPr>
          <w:rFonts w:ascii="Arial" w:hAnsi="Arial"/>
          <w:sz w:val="22"/>
          <w:szCs w:val="22"/>
        </w:rPr>
        <w:t>It is essential that the plan period for the SDP is understood to allow LDPs to be con</w:t>
      </w:r>
      <w:r w:rsidR="00CC63EC" w:rsidRPr="00426787">
        <w:rPr>
          <w:rFonts w:ascii="Arial" w:hAnsi="Arial"/>
          <w:sz w:val="22"/>
          <w:szCs w:val="22"/>
        </w:rPr>
        <w:t xml:space="preserve">sistent with this start date, and then plan forward </w:t>
      </w:r>
      <w:r w:rsidR="00D96DF3" w:rsidRPr="00426787">
        <w:rPr>
          <w:rFonts w:ascii="Arial" w:hAnsi="Arial"/>
          <w:sz w:val="22"/>
          <w:szCs w:val="22"/>
        </w:rPr>
        <w:t>from there to determine the housing requirement up to year 10 from the expected year of adoption.</w:t>
      </w:r>
    </w:p>
    <w:p w14:paraId="34355A50" w14:textId="7DD68261" w:rsidR="00D96DF3" w:rsidRPr="00426787" w:rsidRDefault="00D96DF3" w:rsidP="00C95DAE">
      <w:pPr>
        <w:rPr>
          <w:rFonts w:ascii="Arial" w:hAnsi="Arial"/>
          <w:sz w:val="22"/>
          <w:szCs w:val="22"/>
        </w:rPr>
      </w:pPr>
    </w:p>
    <w:p w14:paraId="443C90A9" w14:textId="77777777" w:rsidR="00707374" w:rsidRDefault="00707374" w:rsidP="00C95DAE">
      <w:pPr>
        <w:rPr>
          <w:rFonts w:ascii="Arial" w:hAnsi="Arial"/>
          <w:sz w:val="22"/>
          <w:szCs w:val="22"/>
        </w:rPr>
      </w:pPr>
    </w:p>
    <w:p w14:paraId="5C375BB3" w14:textId="77777777" w:rsidR="00707374" w:rsidRDefault="00707374" w:rsidP="00C95DAE">
      <w:pPr>
        <w:rPr>
          <w:rFonts w:ascii="Arial" w:hAnsi="Arial"/>
          <w:sz w:val="22"/>
          <w:szCs w:val="22"/>
        </w:rPr>
      </w:pPr>
    </w:p>
    <w:p w14:paraId="2954C2D8" w14:textId="62867B5C" w:rsidR="00D96DF3" w:rsidRPr="00426787" w:rsidRDefault="00D96DF3" w:rsidP="00C95DAE">
      <w:pPr>
        <w:rPr>
          <w:rFonts w:ascii="Arial" w:hAnsi="Arial"/>
          <w:sz w:val="22"/>
          <w:szCs w:val="22"/>
        </w:rPr>
      </w:pPr>
      <w:r w:rsidRPr="00426787">
        <w:rPr>
          <w:rFonts w:ascii="Arial" w:hAnsi="Arial"/>
          <w:sz w:val="22"/>
          <w:szCs w:val="22"/>
        </w:rPr>
        <w:lastRenderedPageBreak/>
        <w:t>The</w:t>
      </w:r>
      <w:r w:rsidR="007961B2" w:rsidRPr="00426787">
        <w:rPr>
          <w:rFonts w:ascii="Arial" w:hAnsi="Arial"/>
          <w:sz w:val="22"/>
          <w:szCs w:val="22"/>
        </w:rPr>
        <w:t xml:space="preserve">re are currently </w:t>
      </w:r>
      <w:proofErr w:type="gramStart"/>
      <w:r w:rsidR="007961B2" w:rsidRPr="00426787">
        <w:rPr>
          <w:rFonts w:ascii="Arial" w:hAnsi="Arial"/>
          <w:sz w:val="22"/>
          <w:szCs w:val="22"/>
        </w:rPr>
        <w:t>a number of</w:t>
      </w:r>
      <w:proofErr w:type="gramEnd"/>
      <w:r w:rsidR="007961B2" w:rsidRPr="00426787">
        <w:rPr>
          <w:rFonts w:ascii="Arial" w:hAnsi="Arial"/>
          <w:sz w:val="22"/>
          <w:szCs w:val="22"/>
        </w:rPr>
        <w:t xml:space="preserve"> different plan periods in front of Scottish Ministers who will be required to make a decision on which will be included in the approved Plan:</w:t>
      </w:r>
    </w:p>
    <w:p w14:paraId="326B76AD" w14:textId="045C760C" w:rsidR="007961B2" w:rsidRPr="00426787" w:rsidRDefault="007961B2" w:rsidP="007961B2">
      <w:pPr>
        <w:pStyle w:val="ListParagraph"/>
        <w:numPr>
          <w:ilvl w:val="0"/>
          <w:numId w:val="16"/>
        </w:numPr>
        <w:rPr>
          <w:rFonts w:ascii="Arial" w:hAnsi="Arial"/>
          <w:sz w:val="22"/>
          <w:szCs w:val="22"/>
        </w:rPr>
      </w:pPr>
      <w:r w:rsidRPr="00426787">
        <w:rPr>
          <w:rFonts w:ascii="Arial" w:hAnsi="Arial"/>
          <w:sz w:val="22"/>
          <w:szCs w:val="22"/>
        </w:rPr>
        <w:t>SESplan2 Proposed Plan sets HSTs and HLRs for th</w:t>
      </w:r>
      <w:r w:rsidR="003521AD" w:rsidRPr="00426787">
        <w:rPr>
          <w:rFonts w:ascii="Arial" w:hAnsi="Arial"/>
          <w:sz w:val="22"/>
          <w:szCs w:val="22"/>
        </w:rPr>
        <w:t>e period from 2018-2030</w:t>
      </w:r>
    </w:p>
    <w:p w14:paraId="6A296B2C" w14:textId="1DB4600B" w:rsidR="003521AD" w:rsidRPr="00426787" w:rsidRDefault="003521AD" w:rsidP="007961B2">
      <w:pPr>
        <w:pStyle w:val="ListParagraph"/>
        <w:numPr>
          <w:ilvl w:val="0"/>
          <w:numId w:val="16"/>
        </w:numPr>
        <w:rPr>
          <w:rFonts w:ascii="Arial" w:hAnsi="Arial"/>
          <w:sz w:val="22"/>
          <w:szCs w:val="22"/>
        </w:rPr>
      </w:pPr>
      <w:r w:rsidRPr="00426787">
        <w:rPr>
          <w:rFonts w:ascii="Arial" w:hAnsi="Arial"/>
          <w:sz w:val="22"/>
          <w:szCs w:val="22"/>
        </w:rPr>
        <w:t>The Reporter sets HSTs and HLRs within</w:t>
      </w:r>
      <w:r w:rsidR="00EE5C93" w:rsidRPr="00426787">
        <w:rPr>
          <w:rFonts w:ascii="Arial" w:hAnsi="Arial"/>
          <w:sz w:val="22"/>
          <w:szCs w:val="22"/>
        </w:rPr>
        <w:t xml:space="preserve"> his conclusions and recommendations in</w:t>
      </w:r>
      <w:r w:rsidRPr="00426787">
        <w:rPr>
          <w:rFonts w:ascii="Arial" w:hAnsi="Arial"/>
          <w:sz w:val="22"/>
          <w:szCs w:val="22"/>
        </w:rPr>
        <w:t xml:space="preserve"> the Examination Report for the period from 2012</w:t>
      </w:r>
      <w:r w:rsidR="00421CE4" w:rsidRPr="00426787">
        <w:rPr>
          <w:rFonts w:ascii="Arial" w:hAnsi="Arial"/>
          <w:sz w:val="22"/>
          <w:szCs w:val="22"/>
        </w:rPr>
        <w:t xml:space="preserve">/13 – </w:t>
      </w:r>
      <w:r w:rsidRPr="00426787">
        <w:rPr>
          <w:rFonts w:ascii="Arial" w:hAnsi="Arial"/>
          <w:sz w:val="22"/>
          <w:szCs w:val="22"/>
        </w:rPr>
        <w:t>20</w:t>
      </w:r>
      <w:r w:rsidR="00421CE4" w:rsidRPr="00426787">
        <w:rPr>
          <w:rFonts w:ascii="Arial" w:hAnsi="Arial"/>
          <w:sz w:val="22"/>
          <w:szCs w:val="22"/>
        </w:rPr>
        <w:t>29/</w:t>
      </w:r>
      <w:r w:rsidRPr="00426787">
        <w:rPr>
          <w:rFonts w:ascii="Arial" w:hAnsi="Arial"/>
          <w:sz w:val="22"/>
          <w:szCs w:val="22"/>
        </w:rPr>
        <w:t>30</w:t>
      </w:r>
    </w:p>
    <w:p w14:paraId="772BFBB6" w14:textId="6B8C24A8" w:rsidR="00421CE4" w:rsidRPr="00426787" w:rsidRDefault="00421CE4" w:rsidP="007961B2">
      <w:pPr>
        <w:pStyle w:val="ListParagraph"/>
        <w:numPr>
          <w:ilvl w:val="0"/>
          <w:numId w:val="16"/>
        </w:numPr>
        <w:rPr>
          <w:rFonts w:ascii="Arial" w:hAnsi="Arial"/>
          <w:sz w:val="22"/>
          <w:szCs w:val="22"/>
        </w:rPr>
      </w:pPr>
      <w:r w:rsidRPr="00426787">
        <w:rPr>
          <w:rFonts w:ascii="Arial" w:hAnsi="Arial"/>
          <w:sz w:val="22"/>
          <w:szCs w:val="22"/>
        </w:rPr>
        <w:t>Homes for Scotland has submitted a statement to the Minister highlighting errors in the Reporter’s conclusions</w:t>
      </w:r>
      <w:r w:rsidR="00EE5C93" w:rsidRPr="00426787">
        <w:rPr>
          <w:rFonts w:ascii="Arial" w:hAnsi="Arial"/>
          <w:sz w:val="22"/>
          <w:szCs w:val="22"/>
        </w:rPr>
        <w:t xml:space="preserve"> </w:t>
      </w:r>
      <w:r w:rsidR="00DC24B5" w:rsidRPr="00426787">
        <w:rPr>
          <w:rFonts w:ascii="Arial" w:hAnsi="Arial"/>
          <w:sz w:val="22"/>
          <w:szCs w:val="22"/>
        </w:rPr>
        <w:t xml:space="preserve">and recommendations </w:t>
      </w:r>
      <w:r w:rsidR="00EE5C93" w:rsidRPr="00426787">
        <w:rPr>
          <w:rFonts w:ascii="Arial" w:hAnsi="Arial"/>
          <w:sz w:val="22"/>
          <w:szCs w:val="22"/>
        </w:rPr>
        <w:t xml:space="preserve">which would amend the plan period </w:t>
      </w:r>
      <w:r w:rsidR="00DC24B5" w:rsidRPr="00426787">
        <w:rPr>
          <w:rFonts w:ascii="Arial" w:hAnsi="Arial"/>
          <w:sz w:val="22"/>
          <w:szCs w:val="22"/>
        </w:rPr>
        <w:t>to 2011/12 – 2029/30</w:t>
      </w:r>
      <w:r w:rsidR="000D1078" w:rsidRPr="00426787">
        <w:rPr>
          <w:rFonts w:ascii="Arial" w:hAnsi="Arial"/>
          <w:sz w:val="22"/>
          <w:szCs w:val="22"/>
        </w:rPr>
        <w:t>; and</w:t>
      </w:r>
    </w:p>
    <w:p w14:paraId="16CF534A" w14:textId="3D0BCDA0" w:rsidR="00DC24B5" w:rsidRPr="00426787" w:rsidRDefault="00DC24B5" w:rsidP="007961B2">
      <w:pPr>
        <w:pStyle w:val="ListParagraph"/>
        <w:numPr>
          <w:ilvl w:val="0"/>
          <w:numId w:val="16"/>
        </w:numPr>
        <w:rPr>
          <w:rFonts w:ascii="Arial" w:hAnsi="Arial"/>
          <w:sz w:val="22"/>
          <w:szCs w:val="22"/>
        </w:rPr>
      </w:pPr>
      <w:r w:rsidRPr="00426787">
        <w:rPr>
          <w:rFonts w:ascii="Arial" w:hAnsi="Arial"/>
          <w:sz w:val="22"/>
          <w:szCs w:val="22"/>
        </w:rPr>
        <w:t xml:space="preserve">Homes for Scotland has also submitted a letter to the Minister on </w:t>
      </w:r>
      <w:proofErr w:type="gramStart"/>
      <w:r w:rsidRPr="00426787">
        <w:rPr>
          <w:rFonts w:ascii="Arial" w:hAnsi="Arial"/>
          <w:sz w:val="22"/>
          <w:szCs w:val="22"/>
        </w:rPr>
        <w:t>a number of</w:t>
      </w:r>
      <w:proofErr w:type="gramEnd"/>
      <w:r w:rsidRPr="00426787">
        <w:rPr>
          <w:rFonts w:ascii="Arial" w:hAnsi="Arial"/>
          <w:sz w:val="22"/>
          <w:szCs w:val="22"/>
        </w:rPr>
        <w:t xml:space="preserve"> key issues within the Reporter’s conclusions and recommendations which also supports the amended plan period of 2011/12 – 2029/30.</w:t>
      </w:r>
    </w:p>
    <w:p w14:paraId="08DC3DAF" w14:textId="026C814C" w:rsidR="00DC24B5" w:rsidRPr="00426787" w:rsidRDefault="00DC24B5" w:rsidP="00DC24B5">
      <w:pPr>
        <w:rPr>
          <w:rFonts w:ascii="Arial" w:hAnsi="Arial"/>
          <w:sz w:val="22"/>
          <w:szCs w:val="22"/>
        </w:rPr>
      </w:pPr>
    </w:p>
    <w:p w14:paraId="17A8EF84" w14:textId="6707B2E1" w:rsidR="000D1078" w:rsidRPr="00426787" w:rsidRDefault="000D1078" w:rsidP="00DC24B5">
      <w:pPr>
        <w:rPr>
          <w:rFonts w:ascii="Arial" w:hAnsi="Arial"/>
          <w:sz w:val="22"/>
          <w:szCs w:val="22"/>
        </w:rPr>
      </w:pPr>
      <w:r w:rsidRPr="00426787">
        <w:rPr>
          <w:rFonts w:ascii="Arial" w:hAnsi="Arial"/>
          <w:sz w:val="22"/>
          <w:szCs w:val="22"/>
        </w:rPr>
        <w:t xml:space="preserve">The HFS </w:t>
      </w:r>
      <w:r w:rsidR="002F562D" w:rsidRPr="00426787">
        <w:rPr>
          <w:rFonts w:ascii="Arial" w:hAnsi="Arial"/>
          <w:sz w:val="22"/>
          <w:szCs w:val="22"/>
        </w:rPr>
        <w:t>submission to the Minister on SESplan2 regarding the Reporter’s recommendations in the Examination Report is attached to this submission for information.</w:t>
      </w:r>
    </w:p>
    <w:p w14:paraId="2D665AF9" w14:textId="4ABCD840" w:rsidR="00E71EF4" w:rsidRPr="00426787" w:rsidRDefault="00E71EF4" w:rsidP="00DC24B5">
      <w:pPr>
        <w:rPr>
          <w:rFonts w:ascii="Arial" w:hAnsi="Arial"/>
          <w:sz w:val="22"/>
          <w:szCs w:val="22"/>
        </w:rPr>
      </w:pPr>
    </w:p>
    <w:p w14:paraId="49C0E844" w14:textId="43635925" w:rsidR="00E71EF4" w:rsidRPr="00426787" w:rsidRDefault="00E71EF4" w:rsidP="00DC24B5">
      <w:pPr>
        <w:rPr>
          <w:rFonts w:ascii="Arial" w:hAnsi="Arial"/>
          <w:sz w:val="22"/>
          <w:szCs w:val="22"/>
          <w:u w:val="single"/>
        </w:rPr>
      </w:pPr>
      <w:r w:rsidRPr="00426787">
        <w:rPr>
          <w:rFonts w:ascii="Arial" w:hAnsi="Arial"/>
          <w:sz w:val="22"/>
          <w:szCs w:val="22"/>
          <w:u w:val="single"/>
        </w:rPr>
        <w:t>Housing Supply Target / Housing Land Requirement</w:t>
      </w:r>
    </w:p>
    <w:p w14:paraId="3C907EE9" w14:textId="10AAF601" w:rsidR="00366BBD" w:rsidRDefault="00251658" w:rsidP="00DC24B5">
      <w:pPr>
        <w:rPr>
          <w:rFonts w:ascii="Arial" w:hAnsi="Arial"/>
          <w:sz w:val="22"/>
          <w:szCs w:val="22"/>
        </w:rPr>
      </w:pPr>
      <w:r w:rsidRPr="00426787">
        <w:rPr>
          <w:rFonts w:ascii="Arial" w:hAnsi="Arial"/>
          <w:sz w:val="22"/>
          <w:szCs w:val="22"/>
        </w:rPr>
        <w:t xml:space="preserve">Following on from the uncertainty over the SDP plan period, there is also significant uncertainty over the HST and HLR in the absence of an approved SDP.  </w:t>
      </w:r>
      <w:r w:rsidR="002266CD" w:rsidRPr="00426787">
        <w:rPr>
          <w:rFonts w:ascii="Arial" w:hAnsi="Arial"/>
          <w:sz w:val="22"/>
          <w:szCs w:val="22"/>
        </w:rPr>
        <w:t xml:space="preserve">Even discounting the submissions made by HFS to the Minister, there is still a </w:t>
      </w:r>
      <w:r w:rsidR="00BA41FC" w:rsidRPr="00426787">
        <w:rPr>
          <w:rFonts w:ascii="Arial" w:hAnsi="Arial"/>
          <w:sz w:val="22"/>
          <w:szCs w:val="22"/>
        </w:rPr>
        <w:t>significant difference in the number of homes required by the HLR in the Reporter’s recommendations, compared with the Proposed Plan.</w:t>
      </w:r>
    </w:p>
    <w:p w14:paraId="0D52686F" w14:textId="4BFB039F" w:rsidR="009B22C2" w:rsidRDefault="009B22C2" w:rsidP="00DC24B5">
      <w:pPr>
        <w:rPr>
          <w:rFonts w:ascii="Arial" w:hAnsi="Arial"/>
          <w:sz w:val="22"/>
          <w:szCs w:val="22"/>
        </w:rPr>
      </w:pPr>
    </w:p>
    <w:p w14:paraId="28810DAD" w14:textId="6935DBDB" w:rsidR="002F562D" w:rsidRPr="00426787" w:rsidRDefault="00366BBD" w:rsidP="00DC24B5">
      <w:pPr>
        <w:rPr>
          <w:rFonts w:ascii="Arial" w:hAnsi="Arial"/>
          <w:sz w:val="22"/>
          <w:szCs w:val="22"/>
        </w:rPr>
      </w:pPr>
      <w:r w:rsidRPr="00426787">
        <w:rPr>
          <w:rFonts w:ascii="Arial" w:hAnsi="Arial"/>
          <w:sz w:val="22"/>
          <w:szCs w:val="22"/>
        </w:rPr>
        <w:t>Therefore,</w:t>
      </w:r>
      <w:r w:rsidR="002F562D" w:rsidRPr="00426787">
        <w:rPr>
          <w:rFonts w:ascii="Arial" w:hAnsi="Arial"/>
          <w:sz w:val="22"/>
          <w:szCs w:val="22"/>
        </w:rPr>
        <w:t xml:space="preserve"> without the clarity of an approved SDP, which HLR should be taken into consideration by the LDP, and over what period should we consid</w:t>
      </w:r>
      <w:r w:rsidR="00E71EF4" w:rsidRPr="00426787">
        <w:rPr>
          <w:rFonts w:ascii="Arial" w:hAnsi="Arial"/>
          <w:sz w:val="22"/>
          <w:szCs w:val="22"/>
        </w:rPr>
        <w:t>er this</w:t>
      </w:r>
      <w:r w:rsidR="006728C6">
        <w:rPr>
          <w:rFonts w:ascii="Arial" w:hAnsi="Arial"/>
          <w:sz w:val="22"/>
          <w:szCs w:val="22"/>
        </w:rPr>
        <w:t>?</w:t>
      </w:r>
      <w:r w:rsidR="008D0AF7">
        <w:rPr>
          <w:rFonts w:ascii="Arial" w:hAnsi="Arial"/>
          <w:sz w:val="22"/>
          <w:szCs w:val="22"/>
        </w:rPr>
        <w:t xml:space="preserve"> </w:t>
      </w:r>
    </w:p>
    <w:p w14:paraId="54874F2E" w14:textId="52C5D5B7" w:rsidR="005E5144" w:rsidRDefault="005E5144" w:rsidP="00C95DAE">
      <w:pPr>
        <w:rPr>
          <w:rFonts w:ascii="Arial" w:hAnsi="Arial"/>
          <w:sz w:val="20"/>
        </w:rPr>
      </w:pPr>
    </w:p>
    <w:p w14:paraId="0AA4B8B5" w14:textId="77777777" w:rsidR="00707374" w:rsidRDefault="00707374" w:rsidP="00C95DAE">
      <w:pPr>
        <w:rPr>
          <w:rFonts w:ascii="Arial" w:hAnsi="Arial"/>
          <w:sz w:val="20"/>
        </w:rPr>
      </w:pPr>
    </w:p>
    <w:p w14:paraId="1A7CB6E2" w14:textId="4155A757" w:rsidR="008D0AF7" w:rsidRPr="009F5394" w:rsidRDefault="008D0AF7" w:rsidP="00A55DFC">
      <w:pPr>
        <w:rPr>
          <w:rFonts w:ascii="Arial" w:hAnsi="Arial"/>
          <w:b/>
          <w:sz w:val="22"/>
          <w:szCs w:val="22"/>
        </w:rPr>
      </w:pPr>
      <w:r w:rsidRPr="009F5394">
        <w:rPr>
          <w:rFonts w:ascii="Arial" w:hAnsi="Arial"/>
          <w:b/>
          <w:sz w:val="22"/>
          <w:szCs w:val="22"/>
        </w:rPr>
        <w:t>Housing Technical Note</w:t>
      </w:r>
    </w:p>
    <w:p w14:paraId="66FAE055" w14:textId="574E554E" w:rsidR="0004126D" w:rsidRDefault="00B94A7A" w:rsidP="00A55DFC">
      <w:pPr>
        <w:rPr>
          <w:rFonts w:ascii="Arial" w:hAnsi="Arial"/>
          <w:sz w:val="22"/>
          <w:szCs w:val="22"/>
        </w:rPr>
      </w:pPr>
      <w:r>
        <w:rPr>
          <w:rFonts w:ascii="Arial" w:hAnsi="Arial"/>
          <w:sz w:val="22"/>
          <w:szCs w:val="22"/>
        </w:rPr>
        <w:t xml:space="preserve">HFS queries </w:t>
      </w:r>
      <w:proofErr w:type="gramStart"/>
      <w:r>
        <w:rPr>
          <w:rFonts w:ascii="Arial" w:hAnsi="Arial"/>
          <w:sz w:val="22"/>
          <w:szCs w:val="22"/>
        </w:rPr>
        <w:t>a number of</w:t>
      </w:r>
      <w:proofErr w:type="gramEnd"/>
      <w:r>
        <w:rPr>
          <w:rFonts w:ascii="Arial" w:hAnsi="Arial"/>
          <w:sz w:val="22"/>
          <w:szCs w:val="22"/>
        </w:rPr>
        <w:t xml:space="preserve"> the assumptions made within the Housing Technical Note which support the MIR</w:t>
      </w:r>
      <w:r w:rsidR="00075420">
        <w:rPr>
          <w:rFonts w:ascii="Arial" w:hAnsi="Arial"/>
          <w:sz w:val="22"/>
          <w:szCs w:val="22"/>
        </w:rPr>
        <w:t xml:space="preserve">. The understanding and evidence base for the assumptions made within the Technical Note are key to </w:t>
      </w:r>
      <w:r w:rsidR="00377CF0">
        <w:rPr>
          <w:rFonts w:ascii="Arial" w:hAnsi="Arial"/>
          <w:sz w:val="22"/>
          <w:szCs w:val="22"/>
        </w:rPr>
        <w:t>the plan’s methodology for calculating the number of homes it may or may not have to allocate in the emerging LDP.</w:t>
      </w:r>
      <w:r w:rsidR="000864CB">
        <w:rPr>
          <w:rFonts w:ascii="Arial" w:hAnsi="Arial"/>
          <w:sz w:val="22"/>
          <w:szCs w:val="22"/>
        </w:rPr>
        <w:t xml:space="preserve"> We request that </w:t>
      </w:r>
      <w:r w:rsidR="004776B0">
        <w:rPr>
          <w:rFonts w:ascii="Arial" w:hAnsi="Arial"/>
          <w:sz w:val="22"/>
          <w:szCs w:val="22"/>
        </w:rPr>
        <w:t xml:space="preserve">the Council provides a far more detailed Housing Technical Note to explain in a robust and transparent way how </w:t>
      </w:r>
      <w:proofErr w:type="gramStart"/>
      <w:r w:rsidR="004776B0">
        <w:rPr>
          <w:rFonts w:ascii="Arial" w:hAnsi="Arial"/>
          <w:sz w:val="22"/>
          <w:szCs w:val="22"/>
        </w:rPr>
        <w:t>all of</w:t>
      </w:r>
      <w:proofErr w:type="gramEnd"/>
      <w:r w:rsidR="004776B0">
        <w:rPr>
          <w:rFonts w:ascii="Arial" w:hAnsi="Arial"/>
          <w:sz w:val="22"/>
          <w:szCs w:val="22"/>
        </w:rPr>
        <w:t xml:space="preserve"> the assumptions within the ‘Planning for Housing’ chapter of the MIR have been reached, to allow </w:t>
      </w:r>
      <w:r w:rsidR="00B24A6D">
        <w:rPr>
          <w:rFonts w:ascii="Arial" w:hAnsi="Arial"/>
          <w:sz w:val="22"/>
          <w:szCs w:val="22"/>
        </w:rPr>
        <w:t>all parties to be able to analyse these, and comment on their appropriateness.</w:t>
      </w:r>
    </w:p>
    <w:p w14:paraId="01B7255A" w14:textId="6A20A8D0" w:rsidR="00377CF0" w:rsidRDefault="00377CF0" w:rsidP="00A55DFC">
      <w:pPr>
        <w:rPr>
          <w:rFonts w:ascii="Arial" w:hAnsi="Arial"/>
          <w:sz w:val="22"/>
          <w:szCs w:val="22"/>
        </w:rPr>
      </w:pPr>
    </w:p>
    <w:p w14:paraId="01F91979" w14:textId="2564E3AA" w:rsidR="00377CF0" w:rsidRPr="000864CB" w:rsidRDefault="009F5394" w:rsidP="00A55DFC">
      <w:pPr>
        <w:rPr>
          <w:rFonts w:ascii="Arial" w:hAnsi="Arial"/>
          <w:sz w:val="22"/>
          <w:szCs w:val="22"/>
          <w:u w:val="single"/>
        </w:rPr>
      </w:pPr>
      <w:r w:rsidRPr="000864CB">
        <w:rPr>
          <w:rFonts w:ascii="Arial" w:hAnsi="Arial"/>
          <w:sz w:val="22"/>
          <w:szCs w:val="22"/>
          <w:u w:val="single"/>
        </w:rPr>
        <w:t xml:space="preserve">Established Land Supply </w:t>
      </w:r>
    </w:p>
    <w:p w14:paraId="2A7EB5C5" w14:textId="40BF608E" w:rsidR="009F5394" w:rsidRDefault="00344F9A" w:rsidP="00A55DFC">
      <w:pPr>
        <w:rPr>
          <w:rFonts w:ascii="Arial" w:hAnsi="Arial"/>
          <w:sz w:val="22"/>
          <w:szCs w:val="22"/>
        </w:rPr>
      </w:pPr>
      <w:r>
        <w:rPr>
          <w:rFonts w:ascii="Arial" w:hAnsi="Arial"/>
          <w:sz w:val="22"/>
          <w:szCs w:val="22"/>
        </w:rPr>
        <w:t>We note that Table 4 sets out the Established Land Supply from the 2017 Housing Land Audit</w:t>
      </w:r>
      <w:r w:rsidR="00F12FC2">
        <w:rPr>
          <w:rFonts w:ascii="Arial" w:hAnsi="Arial"/>
          <w:sz w:val="22"/>
          <w:szCs w:val="22"/>
        </w:rPr>
        <w:t xml:space="preserve"> which includes the programmed completions within years 1-7 of the Audit, </w:t>
      </w:r>
      <w:proofErr w:type="gramStart"/>
      <w:r w:rsidR="00F12FC2">
        <w:rPr>
          <w:rFonts w:ascii="Arial" w:hAnsi="Arial"/>
          <w:sz w:val="22"/>
          <w:szCs w:val="22"/>
        </w:rPr>
        <w:t xml:space="preserve">and </w:t>
      </w:r>
      <w:r w:rsidR="002A7A6A">
        <w:rPr>
          <w:rFonts w:ascii="Arial" w:hAnsi="Arial"/>
          <w:sz w:val="22"/>
          <w:szCs w:val="22"/>
        </w:rPr>
        <w:t>also</w:t>
      </w:r>
      <w:proofErr w:type="gramEnd"/>
      <w:r w:rsidR="002A7A6A">
        <w:rPr>
          <w:rFonts w:ascii="Arial" w:hAnsi="Arial"/>
          <w:sz w:val="22"/>
          <w:szCs w:val="22"/>
        </w:rPr>
        <w:t xml:space="preserve"> the number of units ‘post year 7’ and constrained land supply</w:t>
      </w:r>
      <w:r w:rsidR="00674442">
        <w:rPr>
          <w:rFonts w:ascii="Arial" w:hAnsi="Arial"/>
          <w:sz w:val="22"/>
          <w:szCs w:val="22"/>
        </w:rPr>
        <w:t xml:space="preserve"> and then goes on to use all of these figures in Table 5 </w:t>
      </w:r>
      <w:r w:rsidR="00BD3D75">
        <w:rPr>
          <w:rFonts w:ascii="Arial" w:hAnsi="Arial"/>
          <w:sz w:val="22"/>
          <w:szCs w:val="22"/>
        </w:rPr>
        <w:t>as contributions towards the HLR from 2017/18 to 2030/31.</w:t>
      </w:r>
    </w:p>
    <w:p w14:paraId="08E7EFF8" w14:textId="44EDC267" w:rsidR="007865AC" w:rsidRDefault="007865AC" w:rsidP="00A55DFC">
      <w:pPr>
        <w:rPr>
          <w:rFonts w:ascii="Arial" w:hAnsi="Arial"/>
          <w:sz w:val="22"/>
          <w:szCs w:val="22"/>
        </w:rPr>
      </w:pPr>
    </w:p>
    <w:p w14:paraId="7047C3EE" w14:textId="670D1157" w:rsidR="007865AC" w:rsidRDefault="007865AC" w:rsidP="00A55DFC">
      <w:pPr>
        <w:rPr>
          <w:rFonts w:ascii="Arial" w:hAnsi="Arial"/>
          <w:sz w:val="22"/>
          <w:szCs w:val="22"/>
        </w:rPr>
      </w:pPr>
      <w:r>
        <w:rPr>
          <w:rFonts w:ascii="Arial" w:hAnsi="Arial"/>
          <w:sz w:val="22"/>
          <w:szCs w:val="22"/>
        </w:rPr>
        <w:t xml:space="preserve">We query the inclusion of </w:t>
      </w:r>
      <w:proofErr w:type="gramStart"/>
      <w:r>
        <w:rPr>
          <w:rFonts w:ascii="Arial" w:hAnsi="Arial"/>
          <w:sz w:val="22"/>
          <w:szCs w:val="22"/>
        </w:rPr>
        <w:t>all of</w:t>
      </w:r>
      <w:proofErr w:type="gramEnd"/>
      <w:r>
        <w:rPr>
          <w:rFonts w:ascii="Arial" w:hAnsi="Arial"/>
          <w:sz w:val="22"/>
          <w:szCs w:val="22"/>
        </w:rPr>
        <w:t xml:space="preserve"> the post-year 7 land supply and the assumption that this will all contribute towards the</w:t>
      </w:r>
      <w:r w:rsidR="00B93889">
        <w:rPr>
          <w:rFonts w:ascii="Arial" w:hAnsi="Arial"/>
          <w:sz w:val="22"/>
          <w:szCs w:val="22"/>
        </w:rPr>
        <w:t xml:space="preserve"> requirement to 2030/31 without clarification that all of these homes are able to be delivered by 2030/31.</w:t>
      </w:r>
      <w:r w:rsidR="00FD67B3">
        <w:rPr>
          <w:rFonts w:ascii="Arial" w:hAnsi="Arial"/>
          <w:sz w:val="22"/>
          <w:szCs w:val="22"/>
        </w:rPr>
        <w:t xml:space="preserve">  It may be that within Scottish Borders without any major strategic land releases, </w:t>
      </w:r>
      <w:proofErr w:type="gramStart"/>
      <w:r w:rsidR="00FD67B3">
        <w:rPr>
          <w:rFonts w:ascii="Arial" w:hAnsi="Arial"/>
          <w:sz w:val="22"/>
          <w:szCs w:val="22"/>
        </w:rPr>
        <w:t>all of</w:t>
      </w:r>
      <w:proofErr w:type="gramEnd"/>
      <w:r w:rsidR="00FD67B3">
        <w:rPr>
          <w:rFonts w:ascii="Arial" w:hAnsi="Arial"/>
          <w:sz w:val="22"/>
          <w:szCs w:val="22"/>
        </w:rPr>
        <w:t xml:space="preserve"> these homes are capable of being delivered by 203</w:t>
      </w:r>
      <w:r w:rsidR="00CC6282">
        <w:rPr>
          <w:rFonts w:ascii="Arial" w:hAnsi="Arial"/>
          <w:sz w:val="22"/>
          <w:szCs w:val="22"/>
        </w:rPr>
        <w:t>1, but this is not clear from the Technical Note.</w:t>
      </w:r>
      <w:r w:rsidR="00CC6282">
        <w:rPr>
          <w:rFonts w:ascii="Arial" w:hAnsi="Arial"/>
          <w:sz w:val="22"/>
          <w:szCs w:val="22"/>
        </w:rPr>
        <w:br/>
      </w:r>
      <w:r w:rsidR="00CC6282">
        <w:rPr>
          <w:rFonts w:ascii="Arial" w:hAnsi="Arial"/>
          <w:sz w:val="22"/>
          <w:szCs w:val="22"/>
        </w:rPr>
        <w:br/>
        <w:t xml:space="preserve">Further we query the inclusion of all 1,827 homes within the constrained </w:t>
      </w:r>
      <w:r w:rsidR="005A0E87">
        <w:rPr>
          <w:rFonts w:ascii="Arial" w:hAnsi="Arial"/>
          <w:sz w:val="22"/>
          <w:szCs w:val="22"/>
        </w:rPr>
        <w:t xml:space="preserve">land </w:t>
      </w:r>
      <w:r w:rsidR="00C72813">
        <w:rPr>
          <w:rFonts w:ascii="Arial" w:hAnsi="Arial"/>
          <w:sz w:val="22"/>
          <w:szCs w:val="22"/>
        </w:rPr>
        <w:t xml:space="preserve">supply as capable of contributing towards the </w:t>
      </w:r>
      <w:r w:rsidR="00C141EA">
        <w:rPr>
          <w:rFonts w:ascii="Arial" w:hAnsi="Arial"/>
          <w:sz w:val="22"/>
          <w:szCs w:val="22"/>
        </w:rPr>
        <w:t>HLR to 2031. There is no explanation within the Technical Note for this, but it suggests that the assumption has been made that all currently constrained sites can be expected to become effective within the LDP plan period. No evidence is provided to explain how this assumption has been reached, and how the current constraints will be overcome to allow these homes to come forward into the effective supply and be delivered.</w:t>
      </w:r>
    </w:p>
    <w:p w14:paraId="7E43B470" w14:textId="6C4EA874" w:rsidR="001D4222" w:rsidRDefault="001D4222" w:rsidP="00A55DFC">
      <w:pPr>
        <w:rPr>
          <w:rFonts w:ascii="Arial" w:hAnsi="Arial"/>
          <w:sz w:val="22"/>
          <w:szCs w:val="22"/>
        </w:rPr>
      </w:pPr>
    </w:p>
    <w:p w14:paraId="20A16CE5" w14:textId="6BDB3F51" w:rsidR="00707374" w:rsidRDefault="00707374" w:rsidP="00A55DFC">
      <w:pPr>
        <w:rPr>
          <w:rFonts w:ascii="Arial" w:hAnsi="Arial"/>
          <w:sz w:val="22"/>
          <w:szCs w:val="22"/>
        </w:rPr>
      </w:pPr>
    </w:p>
    <w:p w14:paraId="5518F41F" w14:textId="77777777" w:rsidR="00707374" w:rsidRDefault="00707374" w:rsidP="00A55DFC">
      <w:pPr>
        <w:rPr>
          <w:rFonts w:ascii="Arial" w:hAnsi="Arial"/>
          <w:sz w:val="22"/>
          <w:szCs w:val="22"/>
        </w:rPr>
      </w:pPr>
    </w:p>
    <w:p w14:paraId="33A49666" w14:textId="3F1FB3C5" w:rsidR="009F5394" w:rsidRPr="00B24A6D" w:rsidRDefault="009F5394" w:rsidP="00A55DFC">
      <w:pPr>
        <w:rPr>
          <w:rFonts w:ascii="Arial" w:hAnsi="Arial"/>
          <w:sz w:val="22"/>
          <w:szCs w:val="22"/>
          <w:u w:val="single"/>
        </w:rPr>
      </w:pPr>
      <w:r w:rsidRPr="00B24A6D">
        <w:rPr>
          <w:rFonts w:ascii="Arial" w:hAnsi="Arial"/>
          <w:sz w:val="22"/>
          <w:szCs w:val="22"/>
          <w:u w:val="single"/>
        </w:rPr>
        <w:lastRenderedPageBreak/>
        <w:t>Windfall Assumptions</w:t>
      </w:r>
    </w:p>
    <w:p w14:paraId="3E40704C" w14:textId="26D1D0C3" w:rsidR="008577AB" w:rsidRDefault="008577AB" w:rsidP="00A55DFC">
      <w:pPr>
        <w:rPr>
          <w:rFonts w:ascii="Arial" w:hAnsi="Arial"/>
          <w:sz w:val="22"/>
          <w:szCs w:val="22"/>
        </w:rPr>
      </w:pPr>
      <w:r>
        <w:rPr>
          <w:rFonts w:ascii="Arial" w:hAnsi="Arial"/>
          <w:sz w:val="22"/>
          <w:szCs w:val="22"/>
        </w:rPr>
        <w:t xml:space="preserve">Table 5 </w:t>
      </w:r>
      <w:r w:rsidR="00B76C1E">
        <w:rPr>
          <w:rFonts w:ascii="Arial" w:hAnsi="Arial"/>
          <w:sz w:val="22"/>
          <w:szCs w:val="22"/>
        </w:rPr>
        <w:t xml:space="preserve">of the Housing Technical Note </w:t>
      </w:r>
      <w:r>
        <w:rPr>
          <w:rFonts w:ascii="Arial" w:hAnsi="Arial"/>
          <w:sz w:val="22"/>
          <w:szCs w:val="22"/>
        </w:rPr>
        <w:t xml:space="preserve">includes windfall assumptions and their contribution to the HLR from 2017-2031.  </w:t>
      </w:r>
      <w:r w:rsidR="00B76C1E">
        <w:rPr>
          <w:rFonts w:ascii="Arial" w:hAnsi="Arial"/>
          <w:sz w:val="22"/>
          <w:szCs w:val="22"/>
        </w:rPr>
        <w:t xml:space="preserve">There is no evidence base or explanatory text provided to explain how these </w:t>
      </w:r>
      <w:r w:rsidR="00CF0116">
        <w:rPr>
          <w:rFonts w:ascii="Arial" w:hAnsi="Arial"/>
          <w:sz w:val="22"/>
          <w:szCs w:val="22"/>
        </w:rPr>
        <w:t xml:space="preserve">windfall assumptions have been reached and what they are based on.  From 2017/18 to 2021/22 a windfall assumption of 730 homes has been added, which is an annual average of 146 homes per annum over the </w:t>
      </w:r>
      <w:r w:rsidR="00AE0A6E">
        <w:rPr>
          <w:rFonts w:ascii="Arial" w:hAnsi="Arial"/>
          <w:sz w:val="22"/>
          <w:szCs w:val="22"/>
        </w:rPr>
        <w:t xml:space="preserve">5-year period. From 2022/23 to 2030/31 a windfall assumption of 978 homes has been added, which is an annual average of 109 homes over the 9 years. </w:t>
      </w:r>
    </w:p>
    <w:p w14:paraId="1E4A602C" w14:textId="7AA43D4D" w:rsidR="009F5394" w:rsidRPr="0099465F" w:rsidRDefault="009F5394" w:rsidP="00A55DFC">
      <w:pPr>
        <w:rPr>
          <w:rFonts w:ascii="Arial" w:hAnsi="Arial"/>
          <w:sz w:val="22"/>
          <w:szCs w:val="22"/>
          <w:u w:val="single"/>
        </w:rPr>
      </w:pPr>
      <w:r>
        <w:rPr>
          <w:rFonts w:ascii="Arial" w:hAnsi="Arial"/>
          <w:sz w:val="22"/>
          <w:szCs w:val="22"/>
        </w:rPr>
        <w:br/>
      </w:r>
      <w:r w:rsidRPr="0099465F">
        <w:rPr>
          <w:rFonts w:ascii="Arial" w:hAnsi="Arial"/>
          <w:sz w:val="22"/>
          <w:szCs w:val="22"/>
          <w:u w:val="single"/>
        </w:rPr>
        <w:t>Demolition Assumptions</w:t>
      </w:r>
    </w:p>
    <w:p w14:paraId="09D0AAB6" w14:textId="5A428B3A" w:rsidR="005020AE" w:rsidRDefault="005020AE" w:rsidP="00A55DFC">
      <w:pPr>
        <w:rPr>
          <w:rFonts w:ascii="Arial" w:hAnsi="Arial"/>
          <w:sz w:val="22"/>
          <w:szCs w:val="22"/>
        </w:rPr>
      </w:pPr>
      <w:proofErr w:type="gramStart"/>
      <w:r>
        <w:rPr>
          <w:rFonts w:ascii="Arial" w:hAnsi="Arial"/>
          <w:sz w:val="22"/>
          <w:szCs w:val="22"/>
        </w:rPr>
        <w:t>Similar to</w:t>
      </w:r>
      <w:proofErr w:type="gramEnd"/>
      <w:r>
        <w:rPr>
          <w:rFonts w:ascii="Arial" w:hAnsi="Arial"/>
          <w:sz w:val="22"/>
          <w:szCs w:val="22"/>
        </w:rPr>
        <w:t xml:space="preserve"> the windfall assumptions, the Housing Technical Note states that an assumption has been made of 20 demolitions per annum</w:t>
      </w:r>
      <w:r w:rsidR="00E60809">
        <w:rPr>
          <w:rFonts w:ascii="Arial" w:hAnsi="Arial"/>
          <w:sz w:val="22"/>
          <w:szCs w:val="22"/>
        </w:rPr>
        <w:t>. No explanation is given for this assumption</w:t>
      </w:r>
      <w:r w:rsidR="0099465F">
        <w:rPr>
          <w:rFonts w:ascii="Arial" w:hAnsi="Arial"/>
          <w:sz w:val="22"/>
          <w:szCs w:val="22"/>
        </w:rPr>
        <w:t>,</w:t>
      </w:r>
      <w:r w:rsidR="00E60809">
        <w:rPr>
          <w:rFonts w:ascii="Arial" w:hAnsi="Arial"/>
          <w:sz w:val="22"/>
          <w:szCs w:val="22"/>
        </w:rPr>
        <w:t xml:space="preserve"> so it is not clear why the assumption has been set at this level, </w:t>
      </w:r>
      <w:r w:rsidR="0099465F">
        <w:rPr>
          <w:rFonts w:ascii="Arial" w:hAnsi="Arial"/>
          <w:sz w:val="22"/>
          <w:szCs w:val="22"/>
        </w:rPr>
        <w:t xml:space="preserve">nor is it possible to scrutinise this level to determine </w:t>
      </w:r>
      <w:proofErr w:type="gramStart"/>
      <w:r w:rsidR="0099465F">
        <w:rPr>
          <w:rFonts w:ascii="Arial" w:hAnsi="Arial"/>
          <w:sz w:val="22"/>
          <w:szCs w:val="22"/>
        </w:rPr>
        <w:t>whether or not</w:t>
      </w:r>
      <w:proofErr w:type="gramEnd"/>
      <w:r w:rsidR="0099465F">
        <w:rPr>
          <w:rFonts w:ascii="Arial" w:hAnsi="Arial"/>
          <w:sz w:val="22"/>
          <w:szCs w:val="22"/>
        </w:rPr>
        <w:t xml:space="preserve"> it is reasonable.</w:t>
      </w:r>
    </w:p>
    <w:p w14:paraId="089B7E5B" w14:textId="504B0C80" w:rsidR="009F5394" w:rsidRDefault="009F5394" w:rsidP="00A55DFC">
      <w:pPr>
        <w:rPr>
          <w:rFonts w:ascii="Arial" w:hAnsi="Arial"/>
          <w:sz w:val="22"/>
          <w:szCs w:val="22"/>
        </w:rPr>
      </w:pPr>
    </w:p>
    <w:p w14:paraId="6A2B611D" w14:textId="45E4075D" w:rsidR="009F5394" w:rsidRPr="006250A8" w:rsidRDefault="001D4222" w:rsidP="00A55DFC">
      <w:pPr>
        <w:rPr>
          <w:rFonts w:ascii="Arial" w:hAnsi="Arial"/>
          <w:sz w:val="22"/>
          <w:szCs w:val="22"/>
          <w:u w:val="single"/>
        </w:rPr>
      </w:pPr>
      <w:r w:rsidRPr="006250A8">
        <w:rPr>
          <w:rFonts w:ascii="Arial" w:hAnsi="Arial"/>
          <w:sz w:val="22"/>
          <w:szCs w:val="22"/>
          <w:u w:val="single"/>
        </w:rPr>
        <w:t>Estimated Completions</w:t>
      </w:r>
    </w:p>
    <w:p w14:paraId="1C557B32" w14:textId="5C9479B8" w:rsidR="006250A8" w:rsidRDefault="00920580" w:rsidP="00A55DFC">
      <w:pPr>
        <w:rPr>
          <w:rFonts w:ascii="Arial" w:hAnsi="Arial"/>
          <w:sz w:val="22"/>
          <w:szCs w:val="22"/>
        </w:rPr>
      </w:pPr>
      <w:r>
        <w:rPr>
          <w:rFonts w:ascii="Arial" w:hAnsi="Arial"/>
          <w:sz w:val="22"/>
          <w:szCs w:val="22"/>
        </w:rPr>
        <w:t xml:space="preserve">Table </w:t>
      </w:r>
      <w:r w:rsidR="005B092B">
        <w:rPr>
          <w:rFonts w:ascii="Arial" w:hAnsi="Arial"/>
          <w:sz w:val="22"/>
          <w:szCs w:val="22"/>
        </w:rPr>
        <w:t>8 of the Housing Technical Note sets out a “2</w:t>
      </w:r>
      <w:r w:rsidR="00D142D4">
        <w:rPr>
          <w:rFonts w:ascii="Arial" w:hAnsi="Arial"/>
          <w:sz w:val="22"/>
          <w:szCs w:val="22"/>
        </w:rPr>
        <w:t>-</w:t>
      </w:r>
      <w:r w:rsidR="005B092B">
        <w:rPr>
          <w:rFonts w:ascii="Arial" w:hAnsi="Arial"/>
          <w:sz w:val="22"/>
          <w:szCs w:val="22"/>
        </w:rPr>
        <w:t>year average for Completions (2016 and 2017 HLA)”</w:t>
      </w:r>
      <w:r w:rsidR="00D142D4">
        <w:rPr>
          <w:rFonts w:ascii="Arial" w:hAnsi="Arial"/>
          <w:sz w:val="22"/>
          <w:szCs w:val="22"/>
        </w:rPr>
        <w:t xml:space="preserve"> for the estimated completions 2017/18 to 2020/21</w:t>
      </w:r>
      <w:r w:rsidR="008654B4">
        <w:rPr>
          <w:rFonts w:ascii="Arial" w:hAnsi="Arial"/>
          <w:sz w:val="22"/>
          <w:szCs w:val="22"/>
        </w:rPr>
        <w:t>.  Again, no explanation has been provided to justify this assumption</w:t>
      </w:r>
      <w:r w:rsidR="00593DBC">
        <w:rPr>
          <w:rFonts w:ascii="Arial" w:hAnsi="Arial"/>
          <w:sz w:val="22"/>
          <w:szCs w:val="22"/>
        </w:rPr>
        <w:t xml:space="preserve"> therefore it is not possible to understand why the authority has taken this approach to estimating completions f</w:t>
      </w:r>
      <w:r w:rsidR="00F60A94">
        <w:rPr>
          <w:rFonts w:ascii="Arial" w:hAnsi="Arial"/>
          <w:sz w:val="22"/>
          <w:szCs w:val="22"/>
        </w:rPr>
        <w:t xml:space="preserve">or the </w:t>
      </w:r>
      <w:r w:rsidR="00215711">
        <w:rPr>
          <w:rFonts w:ascii="Arial" w:hAnsi="Arial"/>
          <w:sz w:val="22"/>
          <w:szCs w:val="22"/>
        </w:rPr>
        <w:t xml:space="preserve">period from 2017/18 to 2020/21, the 4-year period between the </w:t>
      </w:r>
      <w:r w:rsidR="009910FB">
        <w:rPr>
          <w:rFonts w:ascii="Arial" w:hAnsi="Arial"/>
          <w:sz w:val="22"/>
          <w:szCs w:val="22"/>
        </w:rPr>
        <w:t>last year of known completions from the latest audit, and the expected year of adoption of the Plan.</w:t>
      </w:r>
      <w:r w:rsidR="006250A8">
        <w:rPr>
          <w:rFonts w:ascii="Arial" w:hAnsi="Arial"/>
          <w:sz w:val="22"/>
          <w:szCs w:val="22"/>
        </w:rPr>
        <w:t xml:space="preserve">  </w:t>
      </w:r>
    </w:p>
    <w:p w14:paraId="1234B3AA" w14:textId="77777777" w:rsidR="006250A8" w:rsidRDefault="006250A8" w:rsidP="00A55DFC">
      <w:pPr>
        <w:rPr>
          <w:rFonts w:ascii="Arial" w:hAnsi="Arial"/>
          <w:sz w:val="22"/>
          <w:szCs w:val="22"/>
        </w:rPr>
      </w:pPr>
    </w:p>
    <w:p w14:paraId="57FB45B6" w14:textId="33161889" w:rsidR="0099465F" w:rsidRDefault="006250A8" w:rsidP="00A55DFC">
      <w:pPr>
        <w:rPr>
          <w:rFonts w:ascii="Arial" w:hAnsi="Arial"/>
          <w:sz w:val="22"/>
          <w:szCs w:val="22"/>
        </w:rPr>
      </w:pPr>
      <w:r>
        <w:rPr>
          <w:rFonts w:ascii="Arial" w:hAnsi="Arial"/>
          <w:sz w:val="22"/>
          <w:szCs w:val="22"/>
        </w:rPr>
        <w:t>This is particularly confusing since the Technical Note</w:t>
      </w:r>
      <w:r w:rsidR="00FA00A5">
        <w:rPr>
          <w:rFonts w:ascii="Arial" w:hAnsi="Arial"/>
          <w:sz w:val="22"/>
          <w:szCs w:val="22"/>
        </w:rPr>
        <w:t xml:space="preserve"> uses</w:t>
      </w:r>
      <w:r w:rsidR="008373CA">
        <w:rPr>
          <w:rFonts w:ascii="Arial" w:hAnsi="Arial"/>
          <w:sz w:val="22"/>
          <w:szCs w:val="22"/>
        </w:rPr>
        <w:t xml:space="preserve"> the effective supply from </w:t>
      </w:r>
      <w:r w:rsidR="00CB4317">
        <w:rPr>
          <w:rFonts w:ascii="Arial" w:hAnsi="Arial"/>
          <w:sz w:val="22"/>
          <w:szCs w:val="22"/>
        </w:rPr>
        <w:t xml:space="preserve">the latest audit in Tables 4 and 5 as the programmed completions which will contribute towards the </w:t>
      </w:r>
      <w:r w:rsidR="00BD652B">
        <w:rPr>
          <w:rFonts w:ascii="Arial" w:hAnsi="Arial"/>
          <w:sz w:val="22"/>
          <w:szCs w:val="22"/>
        </w:rPr>
        <w:t xml:space="preserve">housing requirement.  </w:t>
      </w:r>
      <w:r w:rsidR="00656FA4">
        <w:rPr>
          <w:rFonts w:ascii="Arial" w:hAnsi="Arial"/>
          <w:sz w:val="22"/>
          <w:szCs w:val="22"/>
        </w:rPr>
        <w:t xml:space="preserve">The estimated completions in Table 8 are some </w:t>
      </w:r>
      <w:r w:rsidR="00974630">
        <w:rPr>
          <w:rFonts w:ascii="Arial" w:hAnsi="Arial"/>
          <w:sz w:val="22"/>
          <w:szCs w:val="22"/>
        </w:rPr>
        <w:t>338</w:t>
      </w:r>
      <w:r w:rsidR="00DF39FA">
        <w:rPr>
          <w:rFonts w:ascii="Arial" w:hAnsi="Arial"/>
          <w:sz w:val="22"/>
          <w:szCs w:val="22"/>
        </w:rPr>
        <w:t xml:space="preserve"> homes less than the programmed completions in the 2017 audit </w:t>
      </w:r>
      <w:r w:rsidR="00641755">
        <w:rPr>
          <w:rFonts w:ascii="Arial" w:hAnsi="Arial"/>
          <w:sz w:val="22"/>
          <w:szCs w:val="22"/>
        </w:rPr>
        <w:t>for the same time period</w:t>
      </w:r>
      <w:r w:rsidR="00A563E5">
        <w:rPr>
          <w:rFonts w:ascii="Arial" w:hAnsi="Arial"/>
          <w:sz w:val="22"/>
          <w:szCs w:val="22"/>
        </w:rPr>
        <w:t>.</w:t>
      </w:r>
      <w:r w:rsidR="00FA00A5">
        <w:rPr>
          <w:rFonts w:ascii="Arial" w:hAnsi="Arial"/>
          <w:sz w:val="22"/>
          <w:szCs w:val="22"/>
        </w:rPr>
        <w:t xml:space="preserve"> </w:t>
      </w:r>
      <w:r w:rsidR="00A563E5">
        <w:rPr>
          <w:rFonts w:ascii="Arial" w:hAnsi="Arial"/>
          <w:sz w:val="22"/>
          <w:szCs w:val="22"/>
        </w:rPr>
        <w:t xml:space="preserve"> </w:t>
      </w:r>
      <w:r w:rsidR="00641755">
        <w:rPr>
          <w:rFonts w:ascii="Arial" w:hAnsi="Arial"/>
          <w:sz w:val="22"/>
          <w:szCs w:val="22"/>
        </w:rPr>
        <w:t xml:space="preserve">If the Council believes that the estimated completions in Table </w:t>
      </w:r>
      <w:r w:rsidR="001F36F1">
        <w:rPr>
          <w:rFonts w:ascii="Arial" w:hAnsi="Arial"/>
          <w:sz w:val="22"/>
          <w:szCs w:val="22"/>
        </w:rPr>
        <w:t>8 are more realistic than th</w:t>
      </w:r>
      <w:r w:rsidR="00A563E5">
        <w:rPr>
          <w:rFonts w:ascii="Arial" w:hAnsi="Arial"/>
          <w:sz w:val="22"/>
          <w:szCs w:val="22"/>
        </w:rPr>
        <w:t>ose</w:t>
      </w:r>
      <w:r w:rsidR="001F36F1">
        <w:rPr>
          <w:rFonts w:ascii="Arial" w:hAnsi="Arial"/>
          <w:sz w:val="22"/>
          <w:szCs w:val="22"/>
        </w:rPr>
        <w:t xml:space="preserve"> programmed in the audit because the audit contains over inflated programmed completions in some years which are unlikely to actually be delivered, then it should not be using the program</w:t>
      </w:r>
      <w:r w:rsidR="001648D9">
        <w:rPr>
          <w:rFonts w:ascii="Arial" w:hAnsi="Arial"/>
          <w:sz w:val="22"/>
          <w:szCs w:val="22"/>
        </w:rPr>
        <w:t xml:space="preserve">med completions from the audit to inform tables 4 and 5, and should instead set out a robust and transparent justification for using this alternative completions assumption in Table 8 instead.  </w:t>
      </w:r>
      <w:r w:rsidR="00AA1BFA">
        <w:rPr>
          <w:rFonts w:ascii="Arial" w:hAnsi="Arial"/>
          <w:sz w:val="22"/>
          <w:szCs w:val="22"/>
        </w:rPr>
        <w:t xml:space="preserve">It cannot be the case that two tables use one assumption (Tables 4 and 5) whilst Table 8 uses a different assumption.  Further clarity and evidence </w:t>
      </w:r>
      <w:r w:rsidR="00D7609E">
        <w:rPr>
          <w:rFonts w:ascii="Arial" w:hAnsi="Arial"/>
          <w:sz w:val="22"/>
          <w:szCs w:val="22"/>
        </w:rPr>
        <w:t>are</w:t>
      </w:r>
      <w:r w:rsidR="00AA1BFA">
        <w:rPr>
          <w:rFonts w:ascii="Arial" w:hAnsi="Arial"/>
          <w:sz w:val="22"/>
          <w:szCs w:val="22"/>
        </w:rPr>
        <w:t xml:space="preserve"> required to be able to scrutinise the</w:t>
      </w:r>
      <w:r w:rsidR="005047EB">
        <w:rPr>
          <w:rFonts w:ascii="Arial" w:hAnsi="Arial"/>
          <w:sz w:val="22"/>
          <w:szCs w:val="22"/>
        </w:rPr>
        <w:t xml:space="preserve"> number of homes the Council believes will be completed between 2017/18 and 202</w:t>
      </w:r>
      <w:r>
        <w:rPr>
          <w:rFonts w:ascii="Arial" w:hAnsi="Arial"/>
          <w:sz w:val="22"/>
          <w:szCs w:val="22"/>
        </w:rPr>
        <w:t>0/21.</w:t>
      </w:r>
    </w:p>
    <w:p w14:paraId="541D0282" w14:textId="77F60E2A" w:rsidR="00FB645C" w:rsidRDefault="00FB645C" w:rsidP="00A55DFC">
      <w:pPr>
        <w:rPr>
          <w:rFonts w:ascii="Arial" w:hAnsi="Arial"/>
          <w:sz w:val="22"/>
          <w:szCs w:val="22"/>
        </w:rPr>
      </w:pPr>
    </w:p>
    <w:p w14:paraId="358A5267" w14:textId="6EE2D6EB" w:rsidR="00FB645C" w:rsidRPr="00F377E9" w:rsidRDefault="00FB645C" w:rsidP="00A55DFC">
      <w:pPr>
        <w:rPr>
          <w:rFonts w:ascii="Arial" w:hAnsi="Arial"/>
          <w:sz w:val="22"/>
          <w:szCs w:val="22"/>
          <w:u w:val="single"/>
        </w:rPr>
      </w:pPr>
      <w:r w:rsidRPr="00F377E9">
        <w:rPr>
          <w:rFonts w:ascii="Arial" w:hAnsi="Arial"/>
          <w:sz w:val="22"/>
          <w:szCs w:val="22"/>
          <w:u w:val="single"/>
        </w:rPr>
        <w:t>Contributions to the Requirement</w:t>
      </w:r>
    </w:p>
    <w:p w14:paraId="5D0E8B2D" w14:textId="77777777" w:rsidR="00677561" w:rsidRDefault="00F377E9" w:rsidP="00A55DFC">
      <w:pPr>
        <w:rPr>
          <w:rFonts w:ascii="Arial" w:hAnsi="Arial"/>
          <w:sz w:val="22"/>
          <w:szCs w:val="22"/>
        </w:rPr>
      </w:pPr>
      <w:r>
        <w:rPr>
          <w:rFonts w:ascii="Arial" w:hAnsi="Arial"/>
          <w:sz w:val="22"/>
          <w:szCs w:val="22"/>
        </w:rPr>
        <w:t xml:space="preserve">The issue of </w:t>
      </w:r>
      <w:r w:rsidR="00E27B52">
        <w:rPr>
          <w:rFonts w:ascii="Arial" w:hAnsi="Arial"/>
          <w:sz w:val="22"/>
          <w:szCs w:val="22"/>
        </w:rPr>
        <w:t xml:space="preserve">an inconsistent approach to the methodology for estimating completions results in </w:t>
      </w:r>
      <w:r w:rsidR="00FB645C">
        <w:rPr>
          <w:rFonts w:ascii="Arial" w:hAnsi="Arial"/>
          <w:sz w:val="22"/>
          <w:szCs w:val="22"/>
        </w:rPr>
        <w:t xml:space="preserve">Table 10 of the Housing Technical Note </w:t>
      </w:r>
      <w:r w:rsidR="00B54C57">
        <w:rPr>
          <w:rFonts w:ascii="Arial" w:hAnsi="Arial"/>
          <w:sz w:val="22"/>
          <w:szCs w:val="22"/>
        </w:rPr>
        <w:t xml:space="preserve">being flawed.  This table </w:t>
      </w:r>
      <w:r w:rsidR="00FB645C">
        <w:rPr>
          <w:rFonts w:ascii="Arial" w:hAnsi="Arial"/>
          <w:sz w:val="22"/>
          <w:szCs w:val="22"/>
        </w:rPr>
        <w:t>sets out total contributions to the housing requirement from 2017/18 – 2030/31</w:t>
      </w:r>
      <w:r w:rsidR="00B664C6">
        <w:rPr>
          <w:rFonts w:ascii="Arial" w:hAnsi="Arial"/>
          <w:sz w:val="22"/>
          <w:szCs w:val="22"/>
        </w:rPr>
        <w:t xml:space="preserve"> therefore is a key piece of the Council’s evidence to support the LDP</w:t>
      </w:r>
      <w:r w:rsidR="00FB645C">
        <w:rPr>
          <w:rFonts w:ascii="Arial" w:hAnsi="Arial"/>
          <w:sz w:val="22"/>
          <w:szCs w:val="22"/>
        </w:rPr>
        <w:t>.</w:t>
      </w:r>
      <w:r w:rsidR="00B54C57">
        <w:rPr>
          <w:rFonts w:ascii="Arial" w:hAnsi="Arial"/>
          <w:sz w:val="22"/>
          <w:szCs w:val="22"/>
        </w:rPr>
        <w:t xml:space="preserve">  </w:t>
      </w:r>
    </w:p>
    <w:p w14:paraId="5E02A4A1" w14:textId="77777777" w:rsidR="00677561" w:rsidRDefault="00677561" w:rsidP="00A55DFC">
      <w:pPr>
        <w:rPr>
          <w:rFonts w:ascii="Arial" w:hAnsi="Arial"/>
          <w:sz w:val="22"/>
          <w:szCs w:val="22"/>
        </w:rPr>
      </w:pPr>
    </w:p>
    <w:p w14:paraId="265534E5" w14:textId="2AC5CAD2" w:rsidR="00B338C0" w:rsidRDefault="009C378D" w:rsidP="00A55DFC">
      <w:pPr>
        <w:rPr>
          <w:rFonts w:ascii="Arial" w:hAnsi="Arial"/>
          <w:sz w:val="22"/>
          <w:szCs w:val="22"/>
        </w:rPr>
      </w:pPr>
      <w:r>
        <w:rPr>
          <w:rFonts w:ascii="Arial" w:hAnsi="Arial"/>
          <w:sz w:val="22"/>
          <w:szCs w:val="22"/>
        </w:rPr>
        <w:t>Amongst other contributions, t</w:t>
      </w:r>
      <w:r w:rsidR="00B54C57">
        <w:rPr>
          <w:rFonts w:ascii="Arial" w:hAnsi="Arial"/>
          <w:sz w:val="22"/>
          <w:szCs w:val="22"/>
        </w:rPr>
        <w:t xml:space="preserve">his </w:t>
      </w:r>
      <w:r>
        <w:rPr>
          <w:rFonts w:ascii="Arial" w:hAnsi="Arial"/>
          <w:sz w:val="22"/>
          <w:szCs w:val="22"/>
        </w:rPr>
        <w:t xml:space="preserve">table </w:t>
      </w:r>
      <w:r w:rsidR="00B54C57">
        <w:rPr>
          <w:rFonts w:ascii="Arial" w:hAnsi="Arial"/>
          <w:sz w:val="22"/>
          <w:szCs w:val="22"/>
        </w:rPr>
        <w:t xml:space="preserve">includes a potential land supply </w:t>
      </w:r>
      <w:r w:rsidR="00CD5B7F">
        <w:rPr>
          <w:rFonts w:ascii="Arial" w:hAnsi="Arial"/>
          <w:sz w:val="22"/>
          <w:szCs w:val="22"/>
        </w:rPr>
        <w:t xml:space="preserve">figure </w:t>
      </w:r>
      <w:r w:rsidR="00B54C57">
        <w:rPr>
          <w:rFonts w:ascii="Arial" w:hAnsi="Arial"/>
          <w:sz w:val="22"/>
          <w:szCs w:val="22"/>
        </w:rPr>
        <w:t xml:space="preserve">from the 2017 housing land audit </w:t>
      </w:r>
      <w:r w:rsidR="00CD5B7F">
        <w:rPr>
          <w:rFonts w:ascii="Arial" w:hAnsi="Arial"/>
          <w:sz w:val="22"/>
          <w:szCs w:val="22"/>
        </w:rPr>
        <w:t xml:space="preserve">(as set out in Table 4) </w:t>
      </w:r>
      <w:r w:rsidR="00B54C57">
        <w:rPr>
          <w:rFonts w:ascii="Arial" w:hAnsi="Arial"/>
          <w:sz w:val="22"/>
          <w:szCs w:val="22"/>
        </w:rPr>
        <w:t>and then subtracts an estimate of completions from 2017/18 to 2020/</w:t>
      </w:r>
      <w:r>
        <w:rPr>
          <w:rFonts w:ascii="Arial" w:hAnsi="Arial"/>
          <w:sz w:val="22"/>
          <w:szCs w:val="22"/>
        </w:rPr>
        <w:t>21</w:t>
      </w:r>
      <w:r w:rsidR="00CD5B7F">
        <w:rPr>
          <w:rFonts w:ascii="Arial" w:hAnsi="Arial"/>
          <w:sz w:val="22"/>
          <w:szCs w:val="22"/>
        </w:rPr>
        <w:t xml:space="preserve"> (as set out in Table 8)</w:t>
      </w:r>
      <w:r>
        <w:rPr>
          <w:rFonts w:ascii="Arial" w:hAnsi="Arial"/>
          <w:sz w:val="22"/>
          <w:szCs w:val="22"/>
        </w:rPr>
        <w:t>.</w:t>
      </w:r>
      <w:r w:rsidR="00CD5B7F">
        <w:rPr>
          <w:rFonts w:ascii="Arial" w:hAnsi="Arial"/>
          <w:sz w:val="22"/>
          <w:szCs w:val="22"/>
        </w:rPr>
        <w:t xml:space="preserve"> Because these two figures are based on different instead of matching assumptions, it means that </w:t>
      </w:r>
      <w:r w:rsidR="00D33E6E">
        <w:rPr>
          <w:rFonts w:ascii="Arial" w:hAnsi="Arial"/>
          <w:sz w:val="22"/>
          <w:szCs w:val="22"/>
        </w:rPr>
        <w:t>more homes are estimated as contributing towards the requirement than will b</w:t>
      </w:r>
      <w:r w:rsidR="00FA1BFA">
        <w:rPr>
          <w:rFonts w:ascii="Arial" w:hAnsi="Arial"/>
          <w:sz w:val="22"/>
          <w:szCs w:val="22"/>
        </w:rPr>
        <w:t>e subtracted in the assumption on completions for the same time period. This methodology is not explained anywhere in the Technical Note and is flawed</w:t>
      </w:r>
      <w:r w:rsidR="0084693F">
        <w:rPr>
          <w:rFonts w:ascii="Arial" w:hAnsi="Arial"/>
          <w:sz w:val="22"/>
          <w:szCs w:val="22"/>
        </w:rPr>
        <w:t xml:space="preserve">. Given the importance of this table to the decision on the number of homes that are required to be allocated for the emerging LDP, it must be based on a robust methodology.  Instead, the table is based on unevidenced assumptions of </w:t>
      </w:r>
      <w:r w:rsidR="007243EE">
        <w:rPr>
          <w:rFonts w:ascii="Arial" w:hAnsi="Arial"/>
          <w:sz w:val="22"/>
          <w:szCs w:val="22"/>
        </w:rPr>
        <w:t>windfall and demolitions from 2017/18 to 20</w:t>
      </w:r>
      <w:r w:rsidR="00221578">
        <w:rPr>
          <w:rFonts w:ascii="Arial" w:hAnsi="Arial"/>
          <w:sz w:val="22"/>
          <w:szCs w:val="22"/>
        </w:rPr>
        <w:t xml:space="preserve">30/31 as well as a flawed methodology for the assumption on </w:t>
      </w:r>
      <w:r w:rsidR="00CA2AA8">
        <w:rPr>
          <w:rFonts w:ascii="Arial" w:hAnsi="Arial"/>
          <w:sz w:val="22"/>
          <w:szCs w:val="22"/>
        </w:rPr>
        <w:t xml:space="preserve">the number of homes that will contribute towards the requirement from 2017/18 to 2020/21 and the number of </w:t>
      </w:r>
      <w:r w:rsidR="00514052">
        <w:rPr>
          <w:rFonts w:ascii="Arial" w:hAnsi="Arial"/>
          <w:sz w:val="22"/>
          <w:szCs w:val="22"/>
        </w:rPr>
        <w:t xml:space="preserve">estimated completions within this same timeframe.  </w:t>
      </w:r>
      <w:r w:rsidR="00B338C0">
        <w:rPr>
          <w:rFonts w:ascii="Arial" w:hAnsi="Arial"/>
          <w:sz w:val="22"/>
          <w:szCs w:val="22"/>
        </w:rPr>
        <w:t xml:space="preserve">HFS believes table 10 should be reduced by at least </w:t>
      </w:r>
      <w:r w:rsidR="00521999">
        <w:rPr>
          <w:rFonts w:ascii="Arial" w:hAnsi="Arial"/>
          <w:sz w:val="22"/>
          <w:szCs w:val="22"/>
        </w:rPr>
        <w:t>338 units, and potentially more pending</w:t>
      </w:r>
      <w:r w:rsidR="00635B7D">
        <w:rPr>
          <w:rFonts w:ascii="Arial" w:hAnsi="Arial"/>
          <w:sz w:val="22"/>
          <w:szCs w:val="22"/>
        </w:rPr>
        <w:t xml:space="preserve"> the ability to scrutinise a more transparent evidence base.</w:t>
      </w:r>
    </w:p>
    <w:p w14:paraId="6A54C90A" w14:textId="0E28C62B" w:rsidR="00243A9C" w:rsidRDefault="00243A9C" w:rsidP="00DB74E6">
      <w:pPr>
        <w:rPr>
          <w:rFonts w:ascii="Arial" w:hAnsi="Arial"/>
          <w:sz w:val="22"/>
          <w:szCs w:val="22"/>
        </w:rPr>
      </w:pPr>
    </w:p>
    <w:p w14:paraId="58B26B86" w14:textId="50AE4C81" w:rsidR="00176CFA" w:rsidRPr="0080740B" w:rsidRDefault="006A4584" w:rsidP="00DB74E6">
      <w:pPr>
        <w:rPr>
          <w:rFonts w:ascii="Arial" w:hAnsi="Arial"/>
          <w:b/>
          <w:sz w:val="22"/>
          <w:szCs w:val="22"/>
        </w:rPr>
      </w:pPr>
      <w:r w:rsidRPr="0080740B">
        <w:rPr>
          <w:rFonts w:ascii="Arial" w:hAnsi="Arial"/>
          <w:b/>
          <w:sz w:val="22"/>
          <w:szCs w:val="22"/>
        </w:rPr>
        <w:lastRenderedPageBreak/>
        <w:t>Housing Land Allocations</w:t>
      </w:r>
    </w:p>
    <w:p w14:paraId="49B9D2DF" w14:textId="617A00A5" w:rsidR="006A4584" w:rsidRDefault="002461BF" w:rsidP="00DB74E6">
      <w:pPr>
        <w:rPr>
          <w:rFonts w:ascii="Arial" w:hAnsi="Arial"/>
          <w:sz w:val="22"/>
          <w:szCs w:val="22"/>
        </w:rPr>
      </w:pPr>
      <w:r>
        <w:rPr>
          <w:rFonts w:ascii="Arial" w:hAnsi="Arial"/>
          <w:sz w:val="22"/>
          <w:szCs w:val="22"/>
        </w:rPr>
        <w:t xml:space="preserve">HFS </w:t>
      </w:r>
      <w:r w:rsidR="00161F9B">
        <w:rPr>
          <w:rFonts w:ascii="Arial" w:hAnsi="Arial"/>
          <w:sz w:val="22"/>
          <w:szCs w:val="22"/>
        </w:rPr>
        <w:t xml:space="preserve">would support a range of sizes and locations of sites being allocated within the emerging LDP to support different </w:t>
      </w:r>
      <w:r w:rsidR="003C7F69">
        <w:rPr>
          <w:rFonts w:ascii="Arial" w:hAnsi="Arial"/>
          <w:sz w:val="22"/>
          <w:szCs w:val="22"/>
        </w:rPr>
        <w:t xml:space="preserve">scales of home builders from small scale home builders, to larger home builders.  This would allow a range and choice </w:t>
      </w:r>
      <w:r w:rsidR="00C30EB9">
        <w:rPr>
          <w:rFonts w:ascii="Arial" w:hAnsi="Arial"/>
          <w:sz w:val="22"/>
          <w:szCs w:val="22"/>
        </w:rPr>
        <w:t xml:space="preserve">for the delivery of new homes.  An over reliance on smaller scale sites will not allow </w:t>
      </w:r>
      <w:r w:rsidR="0037339D">
        <w:rPr>
          <w:rFonts w:ascii="Arial" w:hAnsi="Arial"/>
          <w:sz w:val="22"/>
          <w:szCs w:val="22"/>
        </w:rPr>
        <w:t>meaningful and sustained housing growth in the Borders to be achieved to help build communities and stabilise the population. This requires some larger sites</w:t>
      </w:r>
      <w:r w:rsidR="0080740B">
        <w:rPr>
          <w:rFonts w:ascii="Arial" w:hAnsi="Arial"/>
          <w:sz w:val="22"/>
          <w:szCs w:val="22"/>
        </w:rPr>
        <w:t xml:space="preserve"> as part of the range of allocations. </w:t>
      </w:r>
    </w:p>
    <w:p w14:paraId="20779907" w14:textId="27366847" w:rsidR="006D1C57" w:rsidRDefault="006D1C57" w:rsidP="00DB74E6">
      <w:pPr>
        <w:rPr>
          <w:rFonts w:ascii="Arial" w:hAnsi="Arial"/>
          <w:sz w:val="22"/>
          <w:szCs w:val="22"/>
        </w:rPr>
      </w:pPr>
    </w:p>
    <w:p w14:paraId="6D4B3140" w14:textId="24EC1210" w:rsidR="006D1C57" w:rsidRDefault="006D1C57" w:rsidP="00DB74E6">
      <w:pPr>
        <w:rPr>
          <w:rFonts w:ascii="Arial" w:hAnsi="Arial"/>
          <w:sz w:val="22"/>
          <w:szCs w:val="22"/>
        </w:rPr>
      </w:pPr>
      <w:r>
        <w:rPr>
          <w:rFonts w:ascii="Arial" w:hAnsi="Arial"/>
          <w:sz w:val="22"/>
          <w:szCs w:val="22"/>
        </w:rPr>
        <w:t xml:space="preserve">HFS does not support the consultation on preferred and alternative allocations within the MIR at this stage in the absence of an approved SDP and </w:t>
      </w:r>
      <w:r w:rsidR="001C744B">
        <w:rPr>
          <w:rFonts w:ascii="Arial" w:hAnsi="Arial"/>
          <w:sz w:val="22"/>
          <w:szCs w:val="22"/>
        </w:rPr>
        <w:t xml:space="preserve">clarity on the number of new homes required.  Furthermore, given the level of uncertainty over the methodology within the assumptions </w:t>
      </w:r>
      <w:r w:rsidR="00104121">
        <w:rPr>
          <w:rFonts w:ascii="Arial" w:hAnsi="Arial"/>
          <w:sz w:val="22"/>
          <w:szCs w:val="22"/>
        </w:rPr>
        <w:t xml:space="preserve">in the Housing Technical Note, we question the accuracy on all levels of the housing numbers provided within both the MIR and the Technical Note. </w:t>
      </w:r>
    </w:p>
    <w:p w14:paraId="6B8B9E5E" w14:textId="395A201B" w:rsidR="006A4584" w:rsidRDefault="006A4584" w:rsidP="00DB74E6">
      <w:pPr>
        <w:rPr>
          <w:rFonts w:ascii="Arial" w:hAnsi="Arial"/>
          <w:sz w:val="22"/>
          <w:szCs w:val="22"/>
        </w:rPr>
      </w:pPr>
    </w:p>
    <w:p w14:paraId="518E734A" w14:textId="77777777" w:rsidR="00707374" w:rsidRDefault="00707374" w:rsidP="00DB74E6">
      <w:pPr>
        <w:rPr>
          <w:rFonts w:ascii="Arial" w:hAnsi="Arial"/>
          <w:sz w:val="22"/>
          <w:szCs w:val="22"/>
        </w:rPr>
      </w:pPr>
    </w:p>
    <w:p w14:paraId="5D4F937A" w14:textId="25C86366" w:rsidR="006A4584" w:rsidRPr="00BA12CA" w:rsidRDefault="006A4584" w:rsidP="00DB74E6">
      <w:pPr>
        <w:rPr>
          <w:rFonts w:ascii="Arial" w:hAnsi="Arial"/>
          <w:b/>
          <w:sz w:val="22"/>
          <w:szCs w:val="22"/>
        </w:rPr>
      </w:pPr>
      <w:r w:rsidRPr="00BA12CA">
        <w:rPr>
          <w:rFonts w:ascii="Arial" w:hAnsi="Arial"/>
          <w:b/>
          <w:sz w:val="22"/>
          <w:szCs w:val="22"/>
        </w:rPr>
        <w:t>Housing Policies</w:t>
      </w:r>
    </w:p>
    <w:p w14:paraId="139A01D8" w14:textId="2F239E80" w:rsidR="006A4584" w:rsidRDefault="006A4584" w:rsidP="00DB74E6">
      <w:pPr>
        <w:rPr>
          <w:rFonts w:ascii="Arial" w:hAnsi="Arial"/>
          <w:sz w:val="22"/>
          <w:szCs w:val="22"/>
        </w:rPr>
      </w:pPr>
      <w:r>
        <w:rPr>
          <w:rFonts w:ascii="Arial" w:hAnsi="Arial"/>
          <w:sz w:val="22"/>
          <w:szCs w:val="22"/>
        </w:rPr>
        <w:t xml:space="preserve">At such time as the </w:t>
      </w:r>
      <w:r w:rsidR="002223E9">
        <w:rPr>
          <w:rFonts w:ascii="Arial" w:hAnsi="Arial"/>
          <w:sz w:val="22"/>
          <w:szCs w:val="22"/>
        </w:rPr>
        <w:t xml:space="preserve">plan preparation process moves on to consider more detailed plan policies, HFS would </w:t>
      </w:r>
      <w:r w:rsidR="00C70A15">
        <w:rPr>
          <w:rFonts w:ascii="Arial" w:hAnsi="Arial"/>
          <w:sz w:val="22"/>
          <w:szCs w:val="22"/>
        </w:rPr>
        <w:t xml:space="preserve">be supportive of </w:t>
      </w:r>
      <w:r w:rsidR="00F7571C">
        <w:rPr>
          <w:rFonts w:ascii="Arial" w:hAnsi="Arial"/>
          <w:sz w:val="22"/>
          <w:szCs w:val="22"/>
        </w:rPr>
        <w:t xml:space="preserve">the inclusion of policies to support the delivery of homes.  </w:t>
      </w:r>
      <w:r w:rsidR="00C70A15">
        <w:rPr>
          <w:rFonts w:ascii="Arial" w:hAnsi="Arial"/>
          <w:sz w:val="22"/>
          <w:szCs w:val="22"/>
        </w:rPr>
        <w:t xml:space="preserve">Given the nature of the Scottish Borders, we recognise that there are opportunities for small scale home builders to </w:t>
      </w:r>
      <w:r w:rsidR="009B28B8">
        <w:rPr>
          <w:rFonts w:ascii="Arial" w:hAnsi="Arial"/>
          <w:sz w:val="22"/>
          <w:szCs w:val="22"/>
        </w:rPr>
        <w:t>operate and flourish in the region, and we would like to see the inclusion of policies to support these small scale home builders in particular</w:t>
      </w:r>
      <w:r w:rsidR="002461BF">
        <w:rPr>
          <w:rFonts w:ascii="Arial" w:hAnsi="Arial"/>
          <w:sz w:val="22"/>
          <w:szCs w:val="22"/>
        </w:rPr>
        <w:t>,</w:t>
      </w:r>
      <w:r w:rsidR="009B28B8">
        <w:rPr>
          <w:rFonts w:ascii="Arial" w:hAnsi="Arial"/>
          <w:sz w:val="22"/>
          <w:szCs w:val="22"/>
        </w:rPr>
        <w:t xml:space="preserve"> to </w:t>
      </w:r>
      <w:r w:rsidR="006B0035">
        <w:rPr>
          <w:rFonts w:ascii="Arial" w:hAnsi="Arial"/>
          <w:sz w:val="22"/>
          <w:szCs w:val="22"/>
        </w:rPr>
        <w:t xml:space="preserve">help to strengthen and encourage this sector of the market, as well as overarching policies supporting the delivery of homes more generally.  </w:t>
      </w:r>
    </w:p>
    <w:p w14:paraId="63FD0EB0" w14:textId="60E9C2A9" w:rsidR="004854DC" w:rsidRDefault="004854DC" w:rsidP="00DB74E6">
      <w:pPr>
        <w:rPr>
          <w:rFonts w:ascii="Arial" w:hAnsi="Arial"/>
          <w:sz w:val="22"/>
          <w:szCs w:val="22"/>
        </w:rPr>
      </w:pPr>
    </w:p>
    <w:p w14:paraId="02DDB300" w14:textId="77777777" w:rsidR="00707374" w:rsidRDefault="00707374" w:rsidP="00DB74E6">
      <w:pPr>
        <w:rPr>
          <w:rFonts w:ascii="Arial" w:hAnsi="Arial"/>
          <w:sz w:val="22"/>
          <w:szCs w:val="22"/>
        </w:rPr>
      </w:pPr>
    </w:p>
    <w:p w14:paraId="1503DEF1" w14:textId="1CF98313" w:rsidR="00104121" w:rsidRPr="000B1E61" w:rsidRDefault="00104121" w:rsidP="00DB74E6">
      <w:pPr>
        <w:rPr>
          <w:rFonts w:ascii="Arial" w:hAnsi="Arial"/>
          <w:b/>
          <w:sz w:val="22"/>
          <w:szCs w:val="22"/>
        </w:rPr>
      </w:pPr>
      <w:r w:rsidRPr="000B1E61">
        <w:rPr>
          <w:rFonts w:ascii="Arial" w:hAnsi="Arial"/>
          <w:b/>
          <w:sz w:val="22"/>
          <w:szCs w:val="22"/>
        </w:rPr>
        <w:t>Conclusion</w:t>
      </w:r>
    </w:p>
    <w:p w14:paraId="76B6EF3F" w14:textId="68B3DF59" w:rsidR="006760FE" w:rsidRDefault="006026F5" w:rsidP="006026F5">
      <w:pPr>
        <w:rPr>
          <w:rFonts w:ascii="Arial" w:hAnsi="Arial"/>
          <w:sz w:val="22"/>
          <w:szCs w:val="22"/>
        </w:rPr>
      </w:pPr>
      <w:r>
        <w:rPr>
          <w:rFonts w:ascii="Arial" w:hAnsi="Arial"/>
          <w:sz w:val="22"/>
          <w:szCs w:val="22"/>
        </w:rPr>
        <w:t xml:space="preserve">HFS </w:t>
      </w:r>
      <w:r w:rsidR="00D96E2F">
        <w:rPr>
          <w:rFonts w:ascii="Arial" w:hAnsi="Arial"/>
          <w:sz w:val="22"/>
          <w:szCs w:val="22"/>
        </w:rPr>
        <w:t>believes that the publication and consultation on a Main Issues Report at this stage, in the absence of an approved Strategic Development Plan to be premature and inappropriate</w:t>
      </w:r>
      <w:r w:rsidR="00A93CCC">
        <w:rPr>
          <w:rFonts w:ascii="Arial" w:hAnsi="Arial"/>
          <w:sz w:val="22"/>
          <w:szCs w:val="22"/>
        </w:rPr>
        <w:t xml:space="preserve">.  HFS </w:t>
      </w:r>
      <w:r>
        <w:rPr>
          <w:rFonts w:ascii="Arial" w:hAnsi="Arial"/>
          <w:sz w:val="22"/>
          <w:szCs w:val="22"/>
        </w:rPr>
        <w:t xml:space="preserve">does not support the consultation on preferred and alternative allocations within the MIR at this stage in the absence of an approved SDP and clarity on the number of new homes required.  </w:t>
      </w:r>
    </w:p>
    <w:p w14:paraId="578C4C32" w14:textId="77777777" w:rsidR="000B1E61" w:rsidRDefault="000B1E61" w:rsidP="006026F5">
      <w:pPr>
        <w:rPr>
          <w:rFonts w:ascii="Arial" w:hAnsi="Arial"/>
          <w:sz w:val="22"/>
          <w:szCs w:val="22"/>
        </w:rPr>
      </w:pPr>
    </w:p>
    <w:p w14:paraId="2BF71C34" w14:textId="5108BE0A" w:rsidR="000B1E61" w:rsidRDefault="000B1E61" w:rsidP="006026F5">
      <w:pPr>
        <w:rPr>
          <w:rFonts w:ascii="Arial" w:hAnsi="Arial"/>
          <w:sz w:val="22"/>
          <w:szCs w:val="22"/>
        </w:rPr>
      </w:pPr>
      <w:r>
        <w:rPr>
          <w:rFonts w:ascii="Arial" w:hAnsi="Arial"/>
          <w:sz w:val="22"/>
          <w:szCs w:val="22"/>
        </w:rPr>
        <w:t>Furthermore, given the level of uncertainty over the methodology within the assumptions in the Housing Technical Note, we question the accuracy on all levels of the housing numbers provided within both the MIR and the Technical Note.</w:t>
      </w:r>
    </w:p>
    <w:p w14:paraId="5990F4DE" w14:textId="064A8B31" w:rsidR="006760FE" w:rsidRDefault="006760FE" w:rsidP="006026F5">
      <w:pPr>
        <w:rPr>
          <w:rFonts w:ascii="Arial" w:hAnsi="Arial"/>
          <w:sz w:val="22"/>
          <w:szCs w:val="22"/>
        </w:rPr>
      </w:pPr>
    </w:p>
    <w:p w14:paraId="74CA9A29" w14:textId="1B43E8D4" w:rsidR="006760FE" w:rsidRDefault="006760FE" w:rsidP="006026F5">
      <w:pPr>
        <w:rPr>
          <w:rFonts w:ascii="Arial" w:hAnsi="Arial"/>
          <w:sz w:val="22"/>
          <w:szCs w:val="22"/>
        </w:rPr>
      </w:pPr>
      <w:r>
        <w:rPr>
          <w:rFonts w:ascii="Arial" w:hAnsi="Arial"/>
          <w:sz w:val="22"/>
          <w:szCs w:val="22"/>
        </w:rPr>
        <w:t>HFS requests further information from Scottish Borders Council on how it intends to update its MIR once SESplan2 has been approved by Scottish Ministers</w:t>
      </w:r>
      <w:r w:rsidR="000B1E61">
        <w:rPr>
          <w:rFonts w:ascii="Arial" w:hAnsi="Arial"/>
          <w:sz w:val="22"/>
          <w:szCs w:val="22"/>
        </w:rPr>
        <w:t>, and what the process for consultation on this update will be.</w:t>
      </w:r>
    </w:p>
    <w:p w14:paraId="35F4AAD5" w14:textId="77777777" w:rsidR="006760FE" w:rsidRDefault="006760FE" w:rsidP="006026F5">
      <w:pPr>
        <w:rPr>
          <w:rFonts w:ascii="Arial" w:hAnsi="Arial"/>
          <w:sz w:val="22"/>
          <w:szCs w:val="22"/>
        </w:rPr>
      </w:pPr>
    </w:p>
    <w:p w14:paraId="362B2C72" w14:textId="3B4DDE4B" w:rsidR="006026F5" w:rsidRDefault="00DE0A8B" w:rsidP="006026F5">
      <w:pPr>
        <w:rPr>
          <w:rFonts w:ascii="Arial" w:hAnsi="Arial"/>
          <w:sz w:val="22"/>
          <w:szCs w:val="22"/>
        </w:rPr>
      </w:pPr>
      <w:r>
        <w:rPr>
          <w:rFonts w:ascii="Arial" w:hAnsi="Arial"/>
          <w:sz w:val="22"/>
          <w:szCs w:val="22"/>
        </w:rPr>
        <w:t>HFS extends an offer</w:t>
      </w:r>
      <w:r w:rsidR="008B29F2">
        <w:rPr>
          <w:rFonts w:ascii="Arial" w:hAnsi="Arial"/>
          <w:sz w:val="22"/>
          <w:szCs w:val="22"/>
        </w:rPr>
        <w:t xml:space="preserve"> to meet with the Council </w:t>
      </w:r>
      <w:r>
        <w:rPr>
          <w:rFonts w:ascii="Arial" w:hAnsi="Arial"/>
          <w:sz w:val="22"/>
          <w:szCs w:val="22"/>
        </w:rPr>
        <w:t xml:space="preserve">at any stage </w:t>
      </w:r>
      <w:r w:rsidR="008B29F2">
        <w:rPr>
          <w:rFonts w:ascii="Arial" w:hAnsi="Arial"/>
          <w:sz w:val="22"/>
          <w:szCs w:val="22"/>
        </w:rPr>
        <w:t xml:space="preserve">to discuss further drafts of a Housing Technical Note to provide any comment or assistance in advance of its publication for consultation in the future, or to act as a critical friend in any way </w:t>
      </w:r>
      <w:r w:rsidR="00D04916">
        <w:rPr>
          <w:rFonts w:ascii="Arial" w:hAnsi="Arial"/>
          <w:sz w:val="22"/>
          <w:szCs w:val="22"/>
        </w:rPr>
        <w:t>possible in the preparation of a revised MIR once SESplan2 is approved</w:t>
      </w:r>
      <w:r>
        <w:rPr>
          <w:rFonts w:ascii="Arial" w:hAnsi="Arial"/>
          <w:sz w:val="22"/>
          <w:szCs w:val="22"/>
        </w:rPr>
        <w:t>.</w:t>
      </w:r>
    </w:p>
    <w:p w14:paraId="477C970A" w14:textId="23AB70D5" w:rsidR="005B6B11" w:rsidRDefault="005B6B11" w:rsidP="004F6EFF">
      <w:pPr>
        <w:autoSpaceDE w:val="0"/>
        <w:autoSpaceDN w:val="0"/>
        <w:adjustRightInd w:val="0"/>
        <w:rPr>
          <w:rFonts w:ascii="Arial" w:hAnsi="Arial"/>
          <w:sz w:val="22"/>
          <w:szCs w:val="22"/>
        </w:rPr>
      </w:pPr>
    </w:p>
    <w:p w14:paraId="031460D7" w14:textId="77777777" w:rsidR="00251B32" w:rsidRPr="00C13CDF" w:rsidRDefault="00251B32" w:rsidP="004F6EFF">
      <w:pPr>
        <w:autoSpaceDE w:val="0"/>
        <w:autoSpaceDN w:val="0"/>
        <w:adjustRightInd w:val="0"/>
        <w:rPr>
          <w:rFonts w:ascii="Arial" w:hAnsi="Arial" w:cs="Arial"/>
          <w:sz w:val="22"/>
          <w:szCs w:val="22"/>
        </w:rPr>
      </w:pPr>
    </w:p>
    <w:p w14:paraId="477C970D" w14:textId="57C309A1" w:rsidR="00B87684" w:rsidRPr="00C13CDF" w:rsidRDefault="00B87684" w:rsidP="004F6EFF">
      <w:pPr>
        <w:autoSpaceDE w:val="0"/>
        <w:autoSpaceDN w:val="0"/>
        <w:adjustRightInd w:val="0"/>
        <w:rPr>
          <w:rFonts w:ascii="Arial" w:hAnsi="Arial" w:cs="Arial"/>
          <w:sz w:val="22"/>
          <w:szCs w:val="22"/>
        </w:rPr>
      </w:pPr>
      <w:r w:rsidRPr="00C13CDF">
        <w:rPr>
          <w:rFonts w:ascii="Arial" w:hAnsi="Arial" w:cs="Arial"/>
          <w:sz w:val="22"/>
          <w:szCs w:val="22"/>
        </w:rPr>
        <w:t xml:space="preserve">Yours </w:t>
      </w:r>
      <w:r w:rsidR="000C603A">
        <w:rPr>
          <w:rFonts w:ascii="Arial" w:hAnsi="Arial" w:cs="Arial"/>
          <w:sz w:val="22"/>
          <w:szCs w:val="22"/>
        </w:rPr>
        <w:t>faithfully</w:t>
      </w:r>
    </w:p>
    <w:p w14:paraId="477C970E" w14:textId="251D81F6" w:rsidR="00352DC1" w:rsidRPr="00C13CDF" w:rsidRDefault="00352DC1" w:rsidP="004F6EFF">
      <w:pPr>
        <w:autoSpaceDE w:val="0"/>
        <w:autoSpaceDN w:val="0"/>
        <w:adjustRightInd w:val="0"/>
        <w:rPr>
          <w:rFonts w:ascii="Arial" w:hAnsi="Arial" w:cs="Arial"/>
          <w:sz w:val="22"/>
          <w:szCs w:val="22"/>
        </w:rPr>
      </w:pPr>
    </w:p>
    <w:p w14:paraId="477C970F" w14:textId="36A839A6" w:rsidR="00B87684" w:rsidRPr="00C13CDF" w:rsidRDefault="008F3625" w:rsidP="004F6EFF">
      <w:pPr>
        <w:autoSpaceDE w:val="0"/>
        <w:autoSpaceDN w:val="0"/>
        <w:adjustRightInd w:val="0"/>
        <w:rPr>
          <w:rFonts w:ascii="Arial" w:hAnsi="Arial" w:cs="Arial"/>
          <w:sz w:val="22"/>
          <w:szCs w:val="22"/>
        </w:rPr>
      </w:pPr>
      <w:r w:rsidRPr="002F74E4">
        <w:rPr>
          <w:noProof/>
          <w:sz w:val="22"/>
          <w:szCs w:val="22"/>
        </w:rPr>
        <w:drawing>
          <wp:inline distT="0" distB="0" distL="0" distR="0" wp14:anchorId="419D9DF4" wp14:editId="525EDC7D">
            <wp:extent cx="1857375" cy="62204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8988" cy="629283"/>
                    </a:xfrm>
                    <a:prstGeom prst="rect">
                      <a:avLst/>
                    </a:prstGeom>
                    <a:noFill/>
                    <a:ln>
                      <a:noFill/>
                    </a:ln>
                  </pic:spPr>
                </pic:pic>
              </a:graphicData>
            </a:graphic>
          </wp:inline>
        </w:drawing>
      </w:r>
    </w:p>
    <w:p w14:paraId="4A337CE1" w14:textId="29A84255" w:rsidR="00B74CF4" w:rsidRDefault="00C65E63" w:rsidP="00E236FC">
      <w:pPr>
        <w:autoSpaceDE w:val="0"/>
        <w:autoSpaceDN w:val="0"/>
        <w:adjustRightInd w:val="0"/>
        <w:rPr>
          <w:rFonts w:ascii="Arial" w:hAnsi="Arial" w:cs="Arial"/>
          <w:sz w:val="22"/>
          <w:szCs w:val="22"/>
        </w:rPr>
      </w:pPr>
      <w:r>
        <w:rPr>
          <w:rFonts w:ascii="Arial" w:hAnsi="Arial" w:cs="Arial"/>
          <w:sz w:val="22"/>
          <w:szCs w:val="22"/>
        </w:rPr>
        <w:t>Nikola Miller</w:t>
      </w:r>
    </w:p>
    <w:p w14:paraId="37058794" w14:textId="26E27B12" w:rsidR="00C65E63" w:rsidRPr="00C13CDF" w:rsidRDefault="00C65E63" w:rsidP="00E236FC">
      <w:pPr>
        <w:autoSpaceDE w:val="0"/>
        <w:autoSpaceDN w:val="0"/>
        <w:adjustRightInd w:val="0"/>
        <w:rPr>
          <w:rFonts w:ascii="Arial" w:hAnsi="Arial" w:cs="Arial"/>
          <w:sz w:val="22"/>
          <w:szCs w:val="22"/>
        </w:rPr>
      </w:pPr>
      <w:r>
        <w:rPr>
          <w:rFonts w:ascii="Arial" w:hAnsi="Arial" w:cs="Arial"/>
          <w:sz w:val="22"/>
          <w:szCs w:val="22"/>
        </w:rPr>
        <w:t>Head of Planning Practice</w:t>
      </w:r>
    </w:p>
    <w:p w14:paraId="477C9713" w14:textId="26A1E765" w:rsidR="009B17EA" w:rsidRDefault="009B17EA" w:rsidP="00E236FC">
      <w:pPr>
        <w:autoSpaceDE w:val="0"/>
        <w:autoSpaceDN w:val="0"/>
        <w:adjustRightInd w:val="0"/>
        <w:rPr>
          <w:rFonts w:ascii="Arial" w:hAnsi="Arial" w:cs="Arial"/>
          <w:sz w:val="22"/>
          <w:szCs w:val="22"/>
        </w:rPr>
      </w:pPr>
    </w:p>
    <w:p w14:paraId="2C36E4FC" w14:textId="77777777" w:rsidR="00251B32" w:rsidRDefault="00251B32" w:rsidP="00E236FC">
      <w:pPr>
        <w:autoSpaceDE w:val="0"/>
        <w:autoSpaceDN w:val="0"/>
        <w:adjustRightInd w:val="0"/>
        <w:rPr>
          <w:rFonts w:ascii="Arial" w:hAnsi="Arial" w:cs="Arial"/>
          <w:sz w:val="22"/>
          <w:szCs w:val="22"/>
        </w:rPr>
      </w:pPr>
    </w:p>
    <w:p w14:paraId="1EBA1950" w14:textId="4FAC683B" w:rsidR="00251B32" w:rsidRPr="00C13CDF" w:rsidRDefault="00251B32" w:rsidP="00E236FC">
      <w:pPr>
        <w:autoSpaceDE w:val="0"/>
        <w:autoSpaceDN w:val="0"/>
        <w:adjustRightInd w:val="0"/>
        <w:rPr>
          <w:rFonts w:ascii="Arial" w:hAnsi="Arial" w:cs="Arial"/>
          <w:sz w:val="22"/>
          <w:szCs w:val="22"/>
        </w:rPr>
      </w:pPr>
      <w:r>
        <w:rPr>
          <w:rFonts w:ascii="Arial" w:hAnsi="Arial" w:cs="Arial"/>
          <w:sz w:val="22"/>
          <w:szCs w:val="22"/>
        </w:rPr>
        <w:t>Enc: HFS Letter to Minister re SESplan2 and HFS Correction of Errors Report re SESplan2</w:t>
      </w:r>
    </w:p>
    <w:sectPr w:rsidR="00251B32" w:rsidRPr="00C13CDF" w:rsidSect="0008158D">
      <w:footerReference w:type="default" r:id="rId14"/>
      <w:footerReference w:type="first" r:id="rId15"/>
      <w:pgSz w:w="11900" w:h="16840" w:code="9"/>
      <w:pgMar w:top="1440" w:right="1080" w:bottom="1440" w:left="108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AA6F7" w14:textId="77777777" w:rsidR="00894F69" w:rsidRDefault="00894F69">
      <w:r>
        <w:separator/>
      </w:r>
    </w:p>
  </w:endnote>
  <w:endnote w:type="continuationSeparator" w:id="0">
    <w:p w14:paraId="589920DB" w14:textId="77777777" w:rsidR="00894F69" w:rsidRDefault="0089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Segoe UI"/>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1190949557"/>
      <w:docPartObj>
        <w:docPartGallery w:val="Page Numbers (Bottom of Page)"/>
        <w:docPartUnique/>
      </w:docPartObj>
    </w:sdtPr>
    <w:sdtEndPr>
      <w:rPr>
        <w:noProof/>
      </w:rPr>
    </w:sdtEndPr>
    <w:sdtContent>
      <w:p w14:paraId="4C972007" w14:textId="173561CD" w:rsidR="00B74CF4" w:rsidRPr="00B74CF4" w:rsidRDefault="00B74CF4" w:rsidP="00B74CF4">
        <w:pPr>
          <w:pStyle w:val="Footer"/>
          <w:jc w:val="center"/>
          <w:rPr>
            <w:rFonts w:ascii="Arial" w:hAnsi="Arial" w:cs="Arial"/>
            <w:sz w:val="22"/>
            <w:szCs w:val="22"/>
          </w:rPr>
        </w:pPr>
        <w:r w:rsidRPr="00B74CF4">
          <w:rPr>
            <w:rFonts w:ascii="Arial" w:hAnsi="Arial" w:cs="Arial"/>
            <w:sz w:val="22"/>
            <w:szCs w:val="22"/>
          </w:rPr>
          <w:fldChar w:fldCharType="begin"/>
        </w:r>
        <w:r w:rsidRPr="00B74CF4">
          <w:rPr>
            <w:rFonts w:ascii="Arial" w:hAnsi="Arial" w:cs="Arial"/>
            <w:sz w:val="22"/>
            <w:szCs w:val="22"/>
          </w:rPr>
          <w:instrText xml:space="preserve"> PAGE   \* MERGEFORMAT </w:instrText>
        </w:r>
        <w:r w:rsidRPr="00B74CF4">
          <w:rPr>
            <w:rFonts w:ascii="Arial" w:hAnsi="Arial" w:cs="Arial"/>
            <w:sz w:val="22"/>
            <w:szCs w:val="22"/>
          </w:rPr>
          <w:fldChar w:fldCharType="separate"/>
        </w:r>
        <w:r w:rsidR="006F0AB0">
          <w:rPr>
            <w:rFonts w:ascii="Arial" w:hAnsi="Arial" w:cs="Arial"/>
            <w:noProof/>
            <w:sz w:val="22"/>
            <w:szCs w:val="22"/>
          </w:rPr>
          <w:t>2</w:t>
        </w:r>
        <w:r w:rsidRPr="00B74CF4">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EB0B" w14:textId="799FE652" w:rsidR="001D5B3C" w:rsidRPr="001D5B3C" w:rsidRDefault="001D5B3C" w:rsidP="001D5B3C">
    <w:pPr>
      <w:pStyle w:val="Footer"/>
      <w:rPr>
        <w:rFonts w:ascii="Arial" w:hAnsi="Arial" w:cs="Arial"/>
        <w:color w:val="003054"/>
        <w:sz w:val="16"/>
        <w:szCs w:val="16"/>
      </w:rPr>
    </w:pPr>
    <w:r w:rsidRPr="00B618DF">
      <w:rPr>
        <w:rFonts w:ascii="Arial" w:hAnsi="Arial" w:cs="Arial"/>
        <w:color w:val="E52330"/>
        <w:sz w:val="16"/>
        <w:szCs w:val="16"/>
      </w:rPr>
      <w:t>a:</w:t>
    </w:r>
    <w:r w:rsidRPr="00C011DE">
      <w:rPr>
        <w:rFonts w:ascii="Arial" w:hAnsi="Arial" w:cs="Arial"/>
        <w:color w:val="003054"/>
        <w:sz w:val="16"/>
        <w:szCs w:val="16"/>
      </w:rPr>
      <w:t xml:space="preserve"> Homes </w:t>
    </w:r>
    <w:proofErr w:type="gramStart"/>
    <w:r w:rsidRPr="00C011DE">
      <w:rPr>
        <w:rFonts w:ascii="Arial" w:hAnsi="Arial" w:cs="Arial"/>
        <w:color w:val="003054"/>
        <w:sz w:val="16"/>
        <w:szCs w:val="16"/>
      </w:rPr>
      <w:t>For</w:t>
    </w:r>
    <w:proofErr w:type="gramEnd"/>
    <w:r w:rsidRPr="00C011DE">
      <w:rPr>
        <w:rFonts w:ascii="Arial" w:hAnsi="Arial" w:cs="Arial"/>
        <w:color w:val="003054"/>
        <w:sz w:val="16"/>
        <w:szCs w:val="16"/>
      </w:rPr>
      <w:t xml:space="preserve"> Scotland, 5 New Mart Place, Edinburgh, EH14 1RW</w:t>
    </w:r>
    <w:r>
      <w:rPr>
        <w:rFonts w:ascii="Arial" w:hAnsi="Arial" w:cs="Arial"/>
        <w:color w:val="003054"/>
        <w:sz w:val="16"/>
        <w:szCs w:val="16"/>
      </w:rPr>
      <w:t xml:space="preserve">     </w:t>
    </w:r>
    <w:r w:rsidRPr="00B618DF">
      <w:rPr>
        <w:rFonts w:ascii="Arial" w:hAnsi="Arial" w:cs="Arial"/>
        <w:color w:val="E52330"/>
        <w:sz w:val="16"/>
        <w:szCs w:val="16"/>
      </w:rPr>
      <w:t>t:</w:t>
    </w:r>
    <w:r w:rsidRPr="00C011DE">
      <w:rPr>
        <w:rFonts w:ascii="Arial" w:hAnsi="Arial" w:cs="Arial"/>
        <w:color w:val="003054"/>
        <w:sz w:val="16"/>
        <w:szCs w:val="16"/>
      </w:rPr>
      <w:t xml:space="preserve"> +44(0)131 455 8350</w:t>
    </w:r>
    <w:r>
      <w:rPr>
        <w:rFonts w:ascii="Arial" w:hAnsi="Arial" w:cs="Arial"/>
        <w:color w:val="003054"/>
        <w:sz w:val="16"/>
        <w:szCs w:val="16"/>
      </w:rPr>
      <w:t xml:space="preserve">     </w:t>
    </w:r>
    <w:r w:rsidRPr="00B618DF">
      <w:rPr>
        <w:rFonts w:ascii="Arial" w:hAnsi="Arial" w:cs="Arial"/>
        <w:color w:val="E52330"/>
        <w:sz w:val="16"/>
        <w:szCs w:val="16"/>
      </w:rPr>
      <w:t>e:</w:t>
    </w:r>
    <w:r w:rsidRPr="00C011DE">
      <w:rPr>
        <w:rFonts w:ascii="Arial" w:hAnsi="Arial" w:cs="Arial"/>
        <w:color w:val="003054"/>
        <w:sz w:val="16"/>
        <w:szCs w:val="16"/>
      </w:rPr>
      <w:t xml:space="preserve"> info@homesforscotland.com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824CE" w14:textId="77777777" w:rsidR="00894F69" w:rsidRDefault="00894F69">
      <w:r>
        <w:separator/>
      </w:r>
    </w:p>
  </w:footnote>
  <w:footnote w:type="continuationSeparator" w:id="0">
    <w:p w14:paraId="16BE00CE" w14:textId="77777777" w:rsidR="00894F69" w:rsidRDefault="00894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7F9"/>
    <w:multiLevelType w:val="hybridMultilevel"/>
    <w:tmpl w:val="2F7E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C5BB4"/>
    <w:multiLevelType w:val="hybridMultilevel"/>
    <w:tmpl w:val="6846C10A"/>
    <w:lvl w:ilvl="0" w:tplc="0809000F">
      <w:start w:val="1"/>
      <w:numFmt w:val="decimal"/>
      <w:lvlText w:val="%1."/>
      <w:lvlJc w:val="left"/>
      <w:pPr>
        <w:ind w:left="-54" w:hanging="360"/>
      </w:pPr>
      <w:rPr>
        <w:rFonts w:hint="default"/>
      </w:rPr>
    </w:lvl>
    <w:lvl w:ilvl="1" w:tplc="08090019" w:tentative="1">
      <w:start w:val="1"/>
      <w:numFmt w:val="lowerLetter"/>
      <w:lvlText w:val="%2."/>
      <w:lvlJc w:val="left"/>
      <w:pPr>
        <w:ind w:left="666" w:hanging="360"/>
      </w:pPr>
    </w:lvl>
    <w:lvl w:ilvl="2" w:tplc="0809001B" w:tentative="1">
      <w:start w:val="1"/>
      <w:numFmt w:val="lowerRoman"/>
      <w:lvlText w:val="%3."/>
      <w:lvlJc w:val="right"/>
      <w:pPr>
        <w:ind w:left="1386" w:hanging="180"/>
      </w:pPr>
    </w:lvl>
    <w:lvl w:ilvl="3" w:tplc="0809000F" w:tentative="1">
      <w:start w:val="1"/>
      <w:numFmt w:val="decimal"/>
      <w:lvlText w:val="%4."/>
      <w:lvlJc w:val="left"/>
      <w:pPr>
        <w:ind w:left="2106" w:hanging="360"/>
      </w:pPr>
    </w:lvl>
    <w:lvl w:ilvl="4" w:tplc="08090019" w:tentative="1">
      <w:start w:val="1"/>
      <w:numFmt w:val="lowerLetter"/>
      <w:lvlText w:val="%5."/>
      <w:lvlJc w:val="left"/>
      <w:pPr>
        <w:ind w:left="2826" w:hanging="360"/>
      </w:pPr>
    </w:lvl>
    <w:lvl w:ilvl="5" w:tplc="0809001B" w:tentative="1">
      <w:start w:val="1"/>
      <w:numFmt w:val="lowerRoman"/>
      <w:lvlText w:val="%6."/>
      <w:lvlJc w:val="right"/>
      <w:pPr>
        <w:ind w:left="3546" w:hanging="180"/>
      </w:pPr>
    </w:lvl>
    <w:lvl w:ilvl="6" w:tplc="0809000F" w:tentative="1">
      <w:start w:val="1"/>
      <w:numFmt w:val="decimal"/>
      <w:lvlText w:val="%7."/>
      <w:lvlJc w:val="left"/>
      <w:pPr>
        <w:ind w:left="4266" w:hanging="360"/>
      </w:pPr>
    </w:lvl>
    <w:lvl w:ilvl="7" w:tplc="08090019" w:tentative="1">
      <w:start w:val="1"/>
      <w:numFmt w:val="lowerLetter"/>
      <w:lvlText w:val="%8."/>
      <w:lvlJc w:val="left"/>
      <w:pPr>
        <w:ind w:left="4986" w:hanging="360"/>
      </w:pPr>
    </w:lvl>
    <w:lvl w:ilvl="8" w:tplc="0809001B" w:tentative="1">
      <w:start w:val="1"/>
      <w:numFmt w:val="lowerRoman"/>
      <w:lvlText w:val="%9."/>
      <w:lvlJc w:val="right"/>
      <w:pPr>
        <w:ind w:left="5706" w:hanging="180"/>
      </w:pPr>
    </w:lvl>
  </w:abstractNum>
  <w:abstractNum w:abstractNumId="2" w15:restartNumberingAfterBreak="0">
    <w:nsid w:val="08136002"/>
    <w:multiLevelType w:val="hybridMultilevel"/>
    <w:tmpl w:val="E740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E5CDA"/>
    <w:multiLevelType w:val="hybridMultilevel"/>
    <w:tmpl w:val="CF1869BE"/>
    <w:lvl w:ilvl="0" w:tplc="6EE277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C341C"/>
    <w:multiLevelType w:val="hybridMultilevel"/>
    <w:tmpl w:val="BC4425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2B6E62"/>
    <w:multiLevelType w:val="hybridMultilevel"/>
    <w:tmpl w:val="FAA4F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14F14"/>
    <w:multiLevelType w:val="hybridMultilevel"/>
    <w:tmpl w:val="49582C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5324B4"/>
    <w:multiLevelType w:val="hybridMultilevel"/>
    <w:tmpl w:val="7EB80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3B46CB"/>
    <w:multiLevelType w:val="hybridMultilevel"/>
    <w:tmpl w:val="557E16DA"/>
    <w:lvl w:ilvl="0" w:tplc="6EE277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C42B4"/>
    <w:multiLevelType w:val="hybridMultilevel"/>
    <w:tmpl w:val="80F4B18E"/>
    <w:lvl w:ilvl="0" w:tplc="6EE277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D7262"/>
    <w:multiLevelType w:val="hybridMultilevel"/>
    <w:tmpl w:val="DC0A0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133C29"/>
    <w:multiLevelType w:val="hybridMultilevel"/>
    <w:tmpl w:val="667407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0C4A54"/>
    <w:multiLevelType w:val="hybridMultilevel"/>
    <w:tmpl w:val="5DE48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B33063"/>
    <w:multiLevelType w:val="hybridMultilevel"/>
    <w:tmpl w:val="FC504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EF10D6"/>
    <w:multiLevelType w:val="hybridMultilevel"/>
    <w:tmpl w:val="124E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B065B5"/>
    <w:multiLevelType w:val="hybridMultilevel"/>
    <w:tmpl w:val="1B44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14"/>
  </w:num>
  <w:num w:numId="5">
    <w:abstractNumId w:val="7"/>
  </w:num>
  <w:num w:numId="6">
    <w:abstractNumId w:val="0"/>
  </w:num>
  <w:num w:numId="7">
    <w:abstractNumId w:val="10"/>
  </w:num>
  <w:num w:numId="8">
    <w:abstractNumId w:val="4"/>
  </w:num>
  <w:num w:numId="9">
    <w:abstractNumId w:val="2"/>
  </w:num>
  <w:num w:numId="10">
    <w:abstractNumId w:val="8"/>
  </w:num>
  <w:num w:numId="11">
    <w:abstractNumId w:val="9"/>
  </w:num>
  <w:num w:numId="12">
    <w:abstractNumId w:val="3"/>
  </w:num>
  <w:num w:numId="13">
    <w:abstractNumId w:val="12"/>
  </w:num>
  <w:num w:numId="14">
    <w:abstractNumId w:val="15"/>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24D"/>
    <w:rsid w:val="00005B79"/>
    <w:rsid w:val="00014E47"/>
    <w:rsid w:val="0004126D"/>
    <w:rsid w:val="00046302"/>
    <w:rsid w:val="00050DA7"/>
    <w:rsid w:val="00064104"/>
    <w:rsid w:val="000666E8"/>
    <w:rsid w:val="00066C83"/>
    <w:rsid w:val="000738A7"/>
    <w:rsid w:val="00074D37"/>
    <w:rsid w:val="00075420"/>
    <w:rsid w:val="0008158D"/>
    <w:rsid w:val="000864CB"/>
    <w:rsid w:val="000B1E61"/>
    <w:rsid w:val="000B6EBB"/>
    <w:rsid w:val="000C603A"/>
    <w:rsid w:val="000D1078"/>
    <w:rsid w:val="000D7F3E"/>
    <w:rsid w:val="000E7170"/>
    <w:rsid w:val="00103EE5"/>
    <w:rsid w:val="00104121"/>
    <w:rsid w:val="0011718E"/>
    <w:rsid w:val="00144A22"/>
    <w:rsid w:val="00144A8A"/>
    <w:rsid w:val="00155195"/>
    <w:rsid w:val="00161F9B"/>
    <w:rsid w:val="001648D9"/>
    <w:rsid w:val="001715E8"/>
    <w:rsid w:val="00176CFA"/>
    <w:rsid w:val="001912E4"/>
    <w:rsid w:val="001A6E64"/>
    <w:rsid w:val="001B3AAB"/>
    <w:rsid w:val="001B3CF1"/>
    <w:rsid w:val="001B7164"/>
    <w:rsid w:val="001C744B"/>
    <w:rsid w:val="001D3CC9"/>
    <w:rsid w:val="001D4222"/>
    <w:rsid w:val="001D5B3C"/>
    <w:rsid w:val="001F2F4B"/>
    <w:rsid w:val="001F36F1"/>
    <w:rsid w:val="00215711"/>
    <w:rsid w:val="002206B5"/>
    <w:rsid w:val="00221578"/>
    <w:rsid w:val="00221EB2"/>
    <w:rsid w:val="002223E9"/>
    <w:rsid w:val="00222826"/>
    <w:rsid w:val="002266CD"/>
    <w:rsid w:val="002377DA"/>
    <w:rsid w:val="00243A9C"/>
    <w:rsid w:val="00245878"/>
    <w:rsid w:val="002461BF"/>
    <w:rsid w:val="00251658"/>
    <w:rsid w:val="00251B32"/>
    <w:rsid w:val="00256036"/>
    <w:rsid w:val="0027524B"/>
    <w:rsid w:val="002839BF"/>
    <w:rsid w:val="00284016"/>
    <w:rsid w:val="002873FF"/>
    <w:rsid w:val="002A224D"/>
    <w:rsid w:val="002A58BD"/>
    <w:rsid w:val="002A7A6A"/>
    <w:rsid w:val="002B155A"/>
    <w:rsid w:val="002B2948"/>
    <w:rsid w:val="002C0FD0"/>
    <w:rsid w:val="002C5C85"/>
    <w:rsid w:val="002C6EB8"/>
    <w:rsid w:val="002D0E6B"/>
    <w:rsid w:val="002D32A7"/>
    <w:rsid w:val="002E3DBF"/>
    <w:rsid w:val="002E7269"/>
    <w:rsid w:val="002F2713"/>
    <w:rsid w:val="002F562D"/>
    <w:rsid w:val="00306451"/>
    <w:rsid w:val="0031218E"/>
    <w:rsid w:val="003123F7"/>
    <w:rsid w:val="003222BC"/>
    <w:rsid w:val="00332077"/>
    <w:rsid w:val="00344F9A"/>
    <w:rsid w:val="003521AD"/>
    <w:rsid w:val="00352DC1"/>
    <w:rsid w:val="0035669E"/>
    <w:rsid w:val="00366BBD"/>
    <w:rsid w:val="0037339D"/>
    <w:rsid w:val="00377CF0"/>
    <w:rsid w:val="003839FE"/>
    <w:rsid w:val="00385C26"/>
    <w:rsid w:val="003935C0"/>
    <w:rsid w:val="00396C01"/>
    <w:rsid w:val="003B2AED"/>
    <w:rsid w:val="003C7F69"/>
    <w:rsid w:val="003D4E8B"/>
    <w:rsid w:val="003E78ED"/>
    <w:rsid w:val="00404257"/>
    <w:rsid w:val="0041783D"/>
    <w:rsid w:val="00421CE4"/>
    <w:rsid w:val="00426787"/>
    <w:rsid w:val="00432DB1"/>
    <w:rsid w:val="00442ADE"/>
    <w:rsid w:val="004513D0"/>
    <w:rsid w:val="004529D4"/>
    <w:rsid w:val="0046049A"/>
    <w:rsid w:val="004609E7"/>
    <w:rsid w:val="00461EEA"/>
    <w:rsid w:val="004776B0"/>
    <w:rsid w:val="004824E5"/>
    <w:rsid w:val="00483AD8"/>
    <w:rsid w:val="004854DC"/>
    <w:rsid w:val="00487E28"/>
    <w:rsid w:val="004A12B6"/>
    <w:rsid w:val="004A6A67"/>
    <w:rsid w:val="004B1C62"/>
    <w:rsid w:val="004B3ED2"/>
    <w:rsid w:val="004B77DA"/>
    <w:rsid w:val="004D1735"/>
    <w:rsid w:val="004F6EFF"/>
    <w:rsid w:val="005020AE"/>
    <w:rsid w:val="005047EB"/>
    <w:rsid w:val="00506187"/>
    <w:rsid w:val="00507492"/>
    <w:rsid w:val="00514052"/>
    <w:rsid w:val="0051492F"/>
    <w:rsid w:val="00520A16"/>
    <w:rsid w:val="005213D1"/>
    <w:rsid w:val="00521999"/>
    <w:rsid w:val="00531EC3"/>
    <w:rsid w:val="0055231A"/>
    <w:rsid w:val="005553F4"/>
    <w:rsid w:val="00560560"/>
    <w:rsid w:val="00574D6B"/>
    <w:rsid w:val="00593DBC"/>
    <w:rsid w:val="005A0E87"/>
    <w:rsid w:val="005A3D9D"/>
    <w:rsid w:val="005B05D5"/>
    <w:rsid w:val="005B092B"/>
    <w:rsid w:val="005B4740"/>
    <w:rsid w:val="005B6B11"/>
    <w:rsid w:val="005C2B03"/>
    <w:rsid w:val="005D2493"/>
    <w:rsid w:val="005E02F3"/>
    <w:rsid w:val="005E4E71"/>
    <w:rsid w:val="005E5144"/>
    <w:rsid w:val="005E670D"/>
    <w:rsid w:val="005F572D"/>
    <w:rsid w:val="00600DA4"/>
    <w:rsid w:val="006026F5"/>
    <w:rsid w:val="00611BE2"/>
    <w:rsid w:val="006250A8"/>
    <w:rsid w:val="006266A1"/>
    <w:rsid w:val="0063477F"/>
    <w:rsid w:val="00635B7D"/>
    <w:rsid w:val="00641755"/>
    <w:rsid w:val="00647B0C"/>
    <w:rsid w:val="00656FA4"/>
    <w:rsid w:val="006728C6"/>
    <w:rsid w:val="00674442"/>
    <w:rsid w:val="006747DA"/>
    <w:rsid w:val="006760FE"/>
    <w:rsid w:val="00677561"/>
    <w:rsid w:val="00684B2C"/>
    <w:rsid w:val="006874DB"/>
    <w:rsid w:val="0069396F"/>
    <w:rsid w:val="00695FA7"/>
    <w:rsid w:val="006A0FA5"/>
    <w:rsid w:val="006A4584"/>
    <w:rsid w:val="006B0035"/>
    <w:rsid w:val="006C5E22"/>
    <w:rsid w:val="006D1C57"/>
    <w:rsid w:val="006D1DE1"/>
    <w:rsid w:val="006E6F17"/>
    <w:rsid w:val="006F0AB0"/>
    <w:rsid w:val="006F21E0"/>
    <w:rsid w:val="006F24FA"/>
    <w:rsid w:val="006F3497"/>
    <w:rsid w:val="006F6C1F"/>
    <w:rsid w:val="006F7958"/>
    <w:rsid w:val="00704286"/>
    <w:rsid w:val="00704DC9"/>
    <w:rsid w:val="00707374"/>
    <w:rsid w:val="00721FE6"/>
    <w:rsid w:val="00722DAD"/>
    <w:rsid w:val="007243EE"/>
    <w:rsid w:val="00726B13"/>
    <w:rsid w:val="00741B0B"/>
    <w:rsid w:val="00742747"/>
    <w:rsid w:val="007527F2"/>
    <w:rsid w:val="00753F1E"/>
    <w:rsid w:val="00755CD8"/>
    <w:rsid w:val="00762C80"/>
    <w:rsid w:val="00765293"/>
    <w:rsid w:val="0077155B"/>
    <w:rsid w:val="00783E43"/>
    <w:rsid w:val="007865AC"/>
    <w:rsid w:val="00791388"/>
    <w:rsid w:val="007961B2"/>
    <w:rsid w:val="007A499B"/>
    <w:rsid w:val="007B577E"/>
    <w:rsid w:val="007B5EB4"/>
    <w:rsid w:val="007C44DB"/>
    <w:rsid w:val="007D22BC"/>
    <w:rsid w:val="007F0DF0"/>
    <w:rsid w:val="0080740B"/>
    <w:rsid w:val="0081765E"/>
    <w:rsid w:val="00827B7D"/>
    <w:rsid w:val="00832F52"/>
    <w:rsid w:val="00833F02"/>
    <w:rsid w:val="008373CA"/>
    <w:rsid w:val="00845680"/>
    <w:rsid w:val="0084693F"/>
    <w:rsid w:val="00846FAD"/>
    <w:rsid w:val="008577AB"/>
    <w:rsid w:val="0086207A"/>
    <w:rsid w:val="008625B9"/>
    <w:rsid w:val="008649EB"/>
    <w:rsid w:val="008654B4"/>
    <w:rsid w:val="00866673"/>
    <w:rsid w:val="0087622B"/>
    <w:rsid w:val="0089143F"/>
    <w:rsid w:val="00894F69"/>
    <w:rsid w:val="008A61AB"/>
    <w:rsid w:val="008B29F2"/>
    <w:rsid w:val="008D0AF7"/>
    <w:rsid w:val="008D4B96"/>
    <w:rsid w:val="008D52A5"/>
    <w:rsid w:val="008E3123"/>
    <w:rsid w:val="008E3303"/>
    <w:rsid w:val="008F3625"/>
    <w:rsid w:val="008F633B"/>
    <w:rsid w:val="00920580"/>
    <w:rsid w:val="00922A07"/>
    <w:rsid w:val="00932242"/>
    <w:rsid w:val="00942C7F"/>
    <w:rsid w:val="0094507D"/>
    <w:rsid w:val="009501A2"/>
    <w:rsid w:val="009563D8"/>
    <w:rsid w:val="009708E4"/>
    <w:rsid w:val="00974630"/>
    <w:rsid w:val="00976C43"/>
    <w:rsid w:val="009819D8"/>
    <w:rsid w:val="00984AD9"/>
    <w:rsid w:val="009910FB"/>
    <w:rsid w:val="0099465F"/>
    <w:rsid w:val="009A28B5"/>
    <w:rsid w:val="009A6754"/>
    <w:rsid w:val="009B17EA"/>
    <w:rsid w:val="009B22C2"/>
    <w:rsid w:val="009B28B8"/>
    <w:rsid w:val="009B4F8B"/>
    <w:rsid w:val="009B7257"/>
    <w:rsid w:val="009C15B3"/>
    <w:rsid w:val="009C378D"/>
    <w:rsid w:val="009D545D"/>
    <w:rsid w:val="009D609B"/>
    <w:rsid w:val="009E1BB7"/>
    <w:rsid w:val="009F5394"/>
    <w:rsid w:val="00A0038D"/>
    <w:rsid w:val="00A12DAF"/>
    <w:rsid w:val="00A1499A"/>
    <w:rsid w:val="00A21A0E"/>
    <w:rsid w:val="00A31A85"/>
    <w:rsid w:val="00A35631"/>
    <w:rsid w:val="00A37E64"/>
    <w:rsid w:val="00A45A45"/>
    <w:rsid w:val="00A55DFC"/>
    <w:rsid w:val="00A563E5"/>
    <w:rsid w:val="00A65AA4"/>
    <w:rsid w:val="00A73215"/>
    <w:rsid w:val="00A77F50"/>
    <w:rsid w:val="00A81528"/>
    <w:rsid w:val="00A830DF"/>
    <w:rsid w:val="00A86AD3"/>
    <w:rsid w:val="00A87F3D"/>
    <w:rsid w:val="00A9328F"/>
    <w:rsid w:val="00A93CCC"/>
    <w:rsid w:val="00A95416"/>
    <w:rsid w:val="00AA1928"/>
    <w:rsid w:val="00AA1BFA"/>
    <w:rsid w:val="00AB30C9"/>
    <w:rsid w:val="00AB6FB7"/>
    <w:rsid w:val="00AC169C"/>
    <w:rsid w:val="00AE0A6E"/>
    <w:rsid w:val="00AE7842"/>
    <w:rsid w:val="00AF78C1"/>
    <w:rsid w:val="00B0478A"/>
    <w:rsid w:val="00B07D87"/>
    <w:rsid w:val="00B24A6D"/>
    <w:rsid w:val="00B338C0"/>
    <w:rsid w:val="00B42679"/>
    <w:rsid w:val="00B46A36"/>
    <w:rsid w:val="00B526C2"/>
    <w:rsid w:val="00B54C57"/>
    <w:rsid w:val="00B55BA4"/>
    <w:rsid w:val="00B55CD5"/>
    <w:rsid w:val="00B562B5"/>
    <w:rsid w:val="00B65A3F"/>
    <w:rsid w:val="00B664C6"/>
    <w:rsid w:val="00B74CF4"/>
    <w:rsid w:val="00B76C1E"/>
    <w:rsid w:val="00B77A4C"/>
    <w:rsid w:val="00B87684"/>
    <w:rsid w:val="00B93889"/>
    <w:rsid w:val="00B94A7A"/>
    <w:rsid w:val="00B96D4A"/>
    <w:rsid w:val="00BA0623"/>
    <w:rsid w:val="00BA1032"/>
    <w:rsid w:val="00BA12CA"/>
    <w:rsid w:val="00BA41FC"/>
    <w:rsid w:val="00BC0971"/>
    <w:rsid w:val="00BD3D75"/>
    <w:rsid w:val="00BD579B"/>
    <w:rsid w:val="00BD652B"/>
    <w:rsid w:val="00BE7159"/>
    <w:rsid w:val="00C00DC7"/>
    <w:rsid w:val="00C043FE"/>
    <w:rsid w:val="00C045F0"/>
    <w:rsid w:val="00C13CDF"/>
    <w:rsid w:val="00C141EA"/>
    <w:rsid w:val="00C30A80"/>
    <w:rsid w:val="00C30EB9"/>
    <w:rsid w:val="00C34DE9"/>
    <w:rsid w:val="00C41D49"/>
    <w:rsid w:val="00C55B45"/>
    <w:rsid w:val="00C65E63"/>
    <w:rsid w:val="00C70A15"/>
    <w:rsid w:val="00C71911"/>
    <w:rsid w:val="00C72813"/>
    <w:rsid w:val="00C751AF"/>
    <w:rsid w:val="00C75241"/>
    <w:rsid w:val="00C94BE6"/>
    <w:rsid w:val="00C95801"/>
    <w:rsid w:val="00C95DAE"/>
    <w:rsid w:val="00CA2AA8"/>
    <w:rsid w:val="00CA4D5B"/>
    <w:rsid w:val="00CB4317"/>
    <w:rsid w:val="00CC0A57"/>
    <w:rsid w:val="00CC6282"/>
    <w:rsid w:val="00CC63EC"/>
    <w:rsid w:val="00CD5B7F"/>
    <w:rsid w:val="00CF0116"/>
    <w:rsid w:val="00CF1474"/>
    <w:rsid w:val="00D04916"/>
    <w:rsid w:val="00D13E26"/>
    <w:rsid w:val="00D142D4"/>
    <w:rsid w:val="00D14405"/>
    <w:rsid w:val="00D16A84"/>
    <w:rsid w:val="00D22C93"/>
    <w:rsid w:val="00D33E4B"/>
    <w:rsid w:val="00D33E6E"/>
    <w:rsid w:val="00D36D32"/>
    <w:rsid w:val="00D41060"/>
    <w:rsid w:val="00D4490B"/>
    <w:rsid w:val="00D4587B"/>
    <w:rsid w:val="00D46E67"/>
    <w:rsid w:val="00D61A94"/>
    <w:rsid w:val="00D657E3"/>
    <w:rsid w:val="00D7346F"/>
    <w:rsid w:val="00D7609E"/>
    <w:rsid w:val="00D82073"/>
    <w:rsid w:val="00D877C8"/>
    <w:rsid w:val="00D96DF3"/>
    <w:rsid w:val="00D96E2F"/>
    <w:rsid w:val="00DA2D81"/>
    <w:rsid w:val="00DB09A1"/>
    <w:rsid w:val="00DB74E6"/>
    <w:rsid w:val="00DC24B5"/>
    <w:rsid w:val="00DE0A8B"/>
    <w:rsid w:val="00DF39FA"/>
    <w:rsid w:val="00E06569"/>
    <w:rsid w:val="00E069D1"/>
    <w:rsid w:val="00E17A26"/>
    <w:rsid w:val="00E22B39"/>
    <w:rsid w:val="00E236FC"/>
    <w:rsid w:val="00E27B52"/>
    <w:rsid w:val="00E27FA9"/>
    <w:rsid w:val="00E3621A"/>
    <w:rsid w:val="00E368FD"/>
    <w:rsid w:val="00E467A2"/>
    <w:rsid w:val="00E521C5"/>
    <w:rsid w:val="00E52E11"/>
    <w:rsid w:val="00E54BCE"/>
    <w:rsid w:val="00E60809"/>
    <w:rsid w:val="00E6360E"/>
    <w:rsid w:val="00E71292"/>
    <w:rsid w:val="00E71EF4"/>
    <w:rsid w:val="00E85EE3"/>
    <w:rsid w:val="00EB7314"/>
    <w:rsid w:val="00EC5648"/>
    <w:rsid w:val="00EE5C93"/>
    <w:rsid w:val="00F066D1"/>
    <w:rsid w:val="00F12FC2"/>
    <w:rsid w:val="00F16BD0"/>
    <w:rsid w:val="00F377E9"/>
    <w:rsid w:val="00F51FBB"/>
    <w:rsid w:val="00F54E67"/>
    <w:rsid w:val="00F60A94"/>
    <w:rsid w:val="00F7571C"/>
    <w:rsid w:val="00F82564"/>
    <w:rsid w:val="00F91BD6"/>
    <w:rsid w:val="00F93A8D"/>
    <w:rsid w:val="00F944A8"/>
    <w:rsid w:val="00FA00A5"/>
    <w:rsid w:val="00FA07B0"/>
    <w:rsid w:val="00FA1BFA"/>
    <w:rsid w:val="00FA395A"/>
    <w:rsid w:val="00FA523F"/>
    <w:rsid w:val="00FB42EC"/>
    <w:rsid w:val="00FB583B"/>
    <w:rsid w:val="00FB645C"/>
    <w:rsid w:val="00FB6CF6"/>
    <w:rsid w:val="00FB774C"/>
    <w:rsid w:val="00FC1C4C"/>
    <w:rsid w:val="00FD5D0A"/>
    <w:rsid w:val="00FD67B3"/>
    <w:rsid w:val="00FE2625"/>
    <w:rsid w:val="00FF4473"/>
    <w:rsid w:val="00FF48F5"/>
    <w:rsid w:val="00FF73BB"/>
    <w:rsid w:val="00FF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7C96CF"/>
  <w15:docId w15:val="{FE05201B-5749-468E-AB2F-755E22B4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G Omega" w:hAnsi="CG Omega"/>
      <w:sz w:val="24"/>
      <w:lang w:eastAsia="en-US"/>
    </w:rPr>
  </w:style>
  <w:style w:type="paragraph" w:styleId="Heading1">
    <w:name w:val="heading 1"/>
    <w:basedOn w:val="Normal"/>
    <w:next w:val="Normal"/>
    <w:qFormat/>
    <w:pPr>
      <w:keepNext/>
      <w:tabs>
        <w:tab w:val="left" w:pos="0"/>
      </w:tabs>
      <w:outlineLvl w:val="0"/>
    </w:pPr>
    <w:rPr>
      <w:rFonts w:ascii="Arial" w:hAnsi="Arial"/>
      <w:b/>
      <w:bCs/>
      <w:szCs w:val="24"/>
    </w:rPr>
  </w:style>
  <w:style w:type="paragraph" w:styleId="Heading4">
    <w:name w:val="heading 4"/>
    <w:basedOn w:val="Normal"/>
    <w:next w:val="Normal"/>
    <w:qFormat/>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Strong">
    <w:name w:val="Strong"/>
    <w:uiPriority w:val="22"/>
    <w:qFormat/>
    <w:rPr>
      <w:b/>
      <w:bCs/>
    </w:rPr>
  </w:style>
  <w:style w:type="paragraph" w:styleId="NormalWeb">
    <w:name w:val="Normal (Web)"/>
    <w:basedOn w:val="Normal"/>
    <w:pPr>
      <w:spacing w:before="100" w:beforeAutospacing="1" w:after="100" w:afterAutospacing="1"/>
    </w:pPr>
    <w:rPr>
      <w:lang w:val="en-US"/>
    </w:rPr>
  </w:style>
  <w:style w:type="paragraph" w:styleId="BodyText">
    <w:name w:val="Body Text"/>
    <w:basedOn w:val="Normal"/>
    <w:pPr>
      <w:jc w:val="both"/>
    </w:pPr>
  </w:style>
  <w:style w:type="character" w:styleId="Hyperlink">
    <w:name w:val="Hyperlink"/>
    <w:rPr>
      <w:color w:val="0000FF"/>
      <w:u w:val="single"/>
    </w:rPr>
  </w:style>
  <w:style w:type="paragraph" w:styleId="BodyText3">
    <w:name w:val="Body Text 3"/>
    <w:basedOn w:val="Normal"/>
    <w:pPr>
      <w:spacing w:after="120"/>
    </w:pPr>
    <w:rPr>
      <w:sz w:val="16"/>
      <w:szCs w:val="16"/>
    </w:rPr>
  </w:style>
  <w:style w:type="paragraph" w:styleId="BalloonText">
    <w:name w:val="Balloon Text"/>
    <w:basedOn w:val="Normal"/>
    <w:link w:val="BalloonTextChar"/>
    <w:rsid w:val="00066C83"/>
    <w:rPr>
      <w:rFonts w:ascii="Tahoma" w:hAnsi="Tahoma" w:cs="Tahoma"/>
      <w:sz w:val="16"/>
      <w:szCs w:val="16"/>
    </w:rPr>
  </w:style>
  <w:style w:type="character" w:customStyle="1" w:styleId="BalloonTextChar">
    <w:name w:val="Balloon Text Char"/>
    <w:link w:val="BalloonText"/>
    <w:rsid w:val="00066C83"/>
    <w:rPr>
      <w:rFonts w:ascii="Tahoma" w:hAnsi="Tahoma" w:cs="Tahoma"/>
      <w:sz w:val="16"/>
      <w:szCs w:val="16"/>
      <w:lang w:val="en-GB"/>
    </w:rPr>
  </w:style>
  <w:style w:type="paragraph" w:styleId="EndnoteText">
    <w:name w:val="endnote text"/>
    <w:basedOn w:val="Normal"/>
    <w:link w:val="EndnoteTextChar"/>
    <w:rsid w:val="006874DB"/>
    <w:rPr>
      <w:sz w:val="20"/>
    </w:rPr>
  </w:style>
  <w:style w:type="character" w:customStyle="1" w:styleId="EndnoteTextChar">
    <w:name w:val="Endnote Text Char"/>
    <w:link w:val="EndnoteText"/>
    <w:rsid w:val="006874DB"/>
    <w:rPr>
      <w:rFonts w:ascii="CG Omega" w:hAnsi="CG Omega"/>
      <w:lang w:eastAsia="en-US"/>
    </w:rPr>
  </w:style>
  <w:style w:type="character" w:styleId="EndnoteReference">
    <w:name w:val="endnote reference"/>
    <w:rsid w:val="006874DB"/>
    <w:rPr>
      <w:vertAlign w:val="superscript"/>
    </w:rPr>
  </w:style>
  <w:style w:type="paragraph" w:styleId="FootnoteText">
    <w:name w:val="footnote text"/>
    <w:basedOn w:val="Normal"/>
    <w:link w:val="FootnoteTextChar"/>
    <w:rsid w:val="006874DB"/>
    <w:rPr>
      <w:sz w:val="20"/>
    </w:rPr>
  </w:style>
  <w:style w:type="character" w:customStyle="1" w:styleId="FootnoteTextChar">
    <w:name w:val="Footnote Text Char"/>
    <w:link w:val="FootnoteText"/>
    <w:rsid w:val="006874DB"/>
    <w:rPr>
      <w:rFonts w:ascii="CG Omega" w:hAnsi="CG Omega"/>
      <w:lang w:eastAsia="en-US"/>
    </w:rPr>
  </w:style>
  <w:style w:type="character" w:styleId="FootnoteReference">
    <w:name w:val="footnote reference"/>
    <w:rsid w:val="006874DB"/>
    <w:rPr>
      <w:vertAlign w:val="superscript"/>
    </w:rPr>
  </w:style>
  <w:style w:type="paragraph" w:styleId="ListParagraph">
    <w:name w:val="List Paragraph"/>
    <w:basedOn w:val="Normal"/>
    <w:uiPriority w:val="34"/>
    <w:qFormat/>
    <w:rsid w:val="002C6EB8"/>
    <w:pPr>
      <w:ind w:left="720"/>
    </w:pPr>
  </w:style>
  <w:style w:type="character" w:customStyle="1" w:styleId="FooterChar">
    <w:name w:val="Footer Char"/>
    <w:link w:val="Footer"/>
    <w:uiPriority w:val="99"/>
    <w:rsid w:val="00074D37"/>
    <w:rPr>
      <w:rFonts w:ascii="CG Omega" w:hAnsi="CG Omega"/>
      <w:sz w:val="24"/>
      <w:lang w:eastAsia="en-US"/>
    </w:rPr>
  </w:style>
  <w:style w:type="character" w:styleId="CommentReference">
    <w:name w:val="annotation reference"/>
    <w:basedOn w:val="DefaultParagraphFont"/>
    <w:rsid w:val="004B77DA"/>
    <w:rPr>
      <w:sz w:val="16"/>
      <w:szCs w:val="16"/>
    </w:rPr>
  </w:style>
  <w:style w:type="paragraph" w:styleId="CommentText">
    <w:name w:val="annotation text"/>
    <w:basedOn w:val="Normal"/>
    <w:link w:val="CommentTextChar"/>
    <w:rsid w:val="004B77DA"/>
    <w:rPr>
      <w:sz w:val="20"/>
    </w:rPr>
  </w:style>
  <w:style w:type="character" w:customStyle="1" w:styleId="CommentTextChar">
    <w:name w:val="Comment Text Char"/>
    <w:basedOn w:val="DefaultParagraphFont"/>
    <w:link w:val="CommentText"/>
    <w:rsid w:val="004B77DA"/>
    <w:rPr>
      <w:rFonts w:ascii="CG Omega" w:hAnsi="CG Omega"/>
      <w:lang w:eastAsia="en-US"/>
    </w:rPr>
  </w:style>
  <w:style w:type="paragraph" w:styleId="CommentSubject">
    <w:name w:val="annotation subject"/>
    <w:basedOn w:val="CommentText"/>
    <w:next w:val="CommentText"/>
    <w:link w:val="CommentSubjectChar"/>
    <w:rsid w:val="004B77DA"/>
    <w:rPr>
      <w:b/>
      <w:bCs/>
    </w:rPr>
  </w:style>
  <w:style w:type="character" w:customStyle="1" w:styleId="CommentSubjectChar">
    <w:name w:val="Comment Subject Char"/>
    <w:basedOn w:val="CommentTextChar"/>
    <w:link w:val="CommentSubject"/>
    <w:rsid w:val="004B77DA"/>
    <w:rPr>
      <w:rFonts w:ascii="CG Omega" w:hAnsi="CG Omega"/>
      <w:b/>
      <w:bCs/>
      <w:lang w:eastAsia="en-US"/>
    </w:rPr>
  </w:style>
  <w:style w:type="character" w:customStyle="1" w:styleId="xbe">
    <w:name w:val="_xbe"/>
    <w:basedOn w:val="DefaultParagraphFont"/>
    <w:rsid w:val="001D5B3C"/>
  </w:style>
  <w:style w:type="character" w:styleId="UnresolvedMention">
    <w:name w:val="Unresolved Mention"/>
    <w:basedOn w:val="DefaultParagraphFont"/>
    <w:uiPriority w:val="99"/>
    <w:semiHidden/>
    <w:unhideWhenUsed/>
    <w:rsid w:val="00C13CDF"/>
    <w:rPr>
      <w:color w:val="808080"/>
      <w:shd w:val="clear" w:color="auto" w:fill="E6E6E6"/>
    </w:rPr>
  </w:style>
  <w:style w:type="character" w:styleId="HTMLAcronym">
    <w:name w:val="HTML Acronym"/>
    <w:basedOn w:val="DefaultParagraphFont"/>
    <w:uiPriority w:val="99"/>
    <w:semiHidden/>
    <w:unhideWhenUsed/>
    <w:rsid w:val="0041783D"/>
  </w:style>
  <w:style w:type="table" w:styleId="TableGrid">
    <w:name w:val="Table Grid"/>
    <w:basedOn w:val="TableNormal"/>
    <w:rsid w:val="00A95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2944">
      <w:bodyDiv w:val="1"/>
      <w:marLeft w:val="0"/>
      <w:marRight w:val="0"/>
      <w:marTop w:val="0"/>
      <w:marBottom w:val="0"/>
      <w:divBdr>
        <w:top w:val="none" w:sz="0" w:space="0" w:color="auto"/>
        <w:left w:val="none" w:sz="0" w:space="0" w:color="auto"/>
        <w:bottom w:val="none" w:sz="0" w:space="0" w:color="auto"/>
        <w:right w:val="none" w:sz="0" w:space="0" w:color="auto"/>
      </w:divBdr>
    </w:div>
    <w:div w:id="270555895">
      <w:bodyDiv w:val="1"/>
      <w:marLeft w:val="0"/>
      <w:marRight w:val="0"/>
      <w:marTop w:val="0"/>
      <w:marBottom w:val="0"/>
      <w:divBdr>
        <w:top w:val="none" w:sz="0" w:space="0" w:color="auto"/>
        <w:left w:val="none" w:sz="0" w:space="0" w:color="auto"/>
        <w:bottom w:val="none" w:sz="0" w:space="0" w:color="auto"/>
        <w:right w:val="none" w:sz="0" w:space="0" w:color="auto"/>
      </w:divBdr>
    </w:div>
    <w:div w:id="948974159">
      <w:bodyDiv w:val="1"/>
      <w:marLeft w:val="0"/>
      <w:marRight w:val="0"/>
      <w:marTop w:val="0"/>
      <w:marBottom w:val="0"/>
      <w:divBdr>
        <w:top w:val="none" w:sz="0" w:space="0" w:color="auto"/>
        <w:left w:val="none" w:sz="0" w:space="0" w:color="auto"/>
        <w:bottom w:val="none" w:sz="0" w:space="0" w:color="auto"/>
        <w:right w:val="none" w:sz="0" w:space="0" w:color="auto"/>
      </w:divBdr>
    </w:div>
    <w:div w:id="1014109019">
      <w:bodyDiv w:val="1"/>
      <w:marLeft w:val="0"/>
      <w:marRight w:val="0"/>
      <w:marTop w:val="0"/>
      <w:marBottom w:val="0"/>
      <w:divBdr>
        <w:top w:val="none" w:sz="0" w:space="0" w:color="auto"/>
        <w:left w:val="none" w:sz="0" w:space="0" w:color="auto"/>
        <w:bottom w:val="none" w:sz="0" w:space="0" w:color="auto"/>
        <w:right w:val="none" w:sz="0" w:space="0" w:color="auto"/>
      </w:divBdr>
    </w:div>
    <w:div w:id="1319071217">
      <w:bodyDiv w:val="1"/>
      <w:marLeft w:val="0"/>
      <w:marRight w:val="0"/>
      <w:marTop w:val="0"/>
      <w:marBottom w:val="0"/>
      <w:divBdr>
        <w:top w:val="none" w:sz="0" w:space="0" w:color="auto"/>
        <w:left w:val="none" w:sz="0" w:space="0" w:color="auto"/>
        <w:bottom w:val="none" w:sz="0" w:space="0" w:color="auto"/>
        <w:right w:val="none" w:sz="0" w:space="0" w:color="auto"/>
      </w:divBdr>
    </w:div>
    <w:div w:id="1560821749">
      <w:bodyDiv w:val="1"/>
      <w:marLeft w:val="0"/>
      <w:marRight w:val="0"/>
      <w:marTop w:val="0"/>
      <w:marBottom w:val="0"/>
      <w:divBdr>
        <w:top w:val="none" w:sz="0" w:space="0" w:color="auto"/>
        <w:left w:val="none" w:sz="0" w:space="0" w:color="auto"/>
        <w:bottom w:val="none" w:sz="0" w:space="0" w:color="auto"/>
        <w:right w:val="none" w:sz="0" w:space="0" w:color="auto"/>
      </w:divBdr>
    </w:div>
    <w:div w:id="1804687530">
      <w:bodyDiv w:val="1"/>
      <w:marLeft w:val="0"/>
      <w:marRight w:val="0"/>
      <w:marTop w:val="0"/>
      <w:marBottom w:val="0"/>
      <w:divBdr>
        <w:top w:val="none" w:sz="0" w:space="0" w:color="auto"/>
        <w:left w:val="none" w:sz="0" w:space="0" w:color="auto"/>
        <w:bottom w:val="none" w:sz="0" w:space="0" w:color="auto"/>
        <w:right w:val="none" w:sz="0" w:space="0" w:color="auto"/>
      </w:divBdr>
    </w:div>
    <w:div w:id="1985888029">
      <w:bodyDiv w:val="1"/>
      <w:marLeft w:val="0"/>
      <w:marRight w:val="0"/>
      <w:marTop w:val="0"/>
      <w:marBottom w:val="0"/>
      <w:divBdr>
        <w:top w:val="none" w:sz="0" w:space="0" w:color="auto"/>
        <w:left w:val="none" w:sz="0" w:space="0" w:color="auto"/>
        <w:bottom w:val="none" w:sz="0" w:space="0" w:color="auto"/>
        <w:right w:val="none" w:sz="0" w:space="0" w:color="auto"/>
      </w:divBdr>
      <w:divsChild>
        <w:div w:id="795830102">
          <w:marLeft w:val="0"/>
          <w:marRight w:val="0"/>
          <w:marTop w:val="0"/>
          <w:marBottom w:val="0"/>
          <w:divBdr>
            <w:top w:val="none" w:sz="0" w:space="0" w:color="auto"/>
            <w:left w:val="none" w:sz="0" w:space="0" w:color="auto"/>
            <w:bottom w:val="none" w:sz="0" w:space="0" w:color="auto"/>
            <w:right w:val="none" w:sz="0" w:space="0" w:color="auto"/>
          </w:divBdr>
          <w:divsChild>
            <w:div w:id="745999275">
              <w:marLeft w:val="0"/>
              <w:marRight w:val="0"/>
              <w:marTop w:val="0"/>
              <w:marBottom w:val="0"/>
              <w:divBdr>
                <w:top w:val="none" w:sz="0" w:space="0" w:color="auto"/>
                <w:left w:val="none" w:sz="0" w:space="0" w:color="auto"/>
                <w:bottom w:val="none" w:sz="0" w:space="0" w:color="auto"/>
                <w:right w:val="none" w:sz="0" w:space="0" w:color="auto"/>
              </w:divBdr>
              <w:divsChild>
                <w:div w:id="221647037">
                  <w:marLeft w:val="0"/>
                  <w:marRight w:val="0"/>
                  <w:marTop w:val="0"/>
                  <w:marBottom w:val="0"/>
                  <w:divBdr>
                    <w:top w:val="none" w:sz="0" w:space="0" w:color="auto"/>
                    <w:left w:val="none" w:sz="0" w:space="0" w:color="auto"/>
                    <w:bottom w:val="none" w:sz="0" w:space="0" w:color="auto"/>
                    <w:right w:val="none" w:sz="0" w:space="0" w:color="auto"/>
                  </w:divBdr>
                  <w:divsChild>
                    <w:div w:id="986856092">
                      <w:marLeft w:val="0"/>
                      <w:marRight w:val="0"/>
                      <w:marTop w:val="0"/>
                      <w:marBottom w:val="0"/>
                      <w:divBdr>
                        <w:top w:val="none" w:sz="0" w:space="0" w:color="auto"/>
                        <w:left w:val="none" w:sz="0" w:space="0" w:color="auto"/>
                        <w:bottom w:val="none" w:sz="0" w:space="0" w:color="auto"/>
                        <w:right w:val="none" w:sz="0" w:space="0" w:color="auto"/>
                      </w:divBdr>
                      <w:divsChild>
                        <w:div w:id="659774512">
                          <w:marLeft w:val="405"/>
                          <w:marRight w:val="0"/>
                          <w:marTop w:val="0"/>
                          <w:marBottom w:val="0"/>
                          <w:divBdr>
                            <w:top w:val="none" w:sz="0" w:space="0" w:color="auto"/>
                            <w:left w:val="none" w:sz="0" w:space="0" w:color="auto"/>
                            <w:bottom w:val="none" w:sz="0" w:space="0" w:color="auto"/>
                            <w:right w:val="none" w:sz="0" w:space="0" w:color="auto"/>
                          </w:divBdr>
                          <w:divsChild>
                            <w:div w:id="166095010">
                              <w:marLeft w:val="0"/>
                              <w:marRight w:val="0"/>
                              <w:marTop w:val="0"/>
                              <w:marBottom w:val="0"/>
                              <w:divBdr>
                                <w:top w:val="none" w:sz="0" w:space="0" w:color="auto"/>
                                <w:left w:val="none" w:sz="0" w:space="0" w:color="auto"/>
                                <w:bottom w:val="none" w:sz="0" w:space="0" w:color="auto"/>
                                <w:right w:val="none" w:sz="0" w:space="0" w:color="auto"/>
                              </w:divBdr>
                              <w:divsChild>
                                <w:div w:id="786125189">
                                  <w:marLeft w:val="0"/>
                                  <w:marRight w:val="0"/>
                                  <w:marTop w:val="0"/>
                                  <w:marBottom w:val="0"/>
                                  <w:divBdr>
                                    <w:top w:val="none" w:sz="0" w:space="0" w:color="auto"/>
                                    <w:left w:val="none" w:sz="0" w:space="0" w:color="auto"/>
                                    <w:bottom w:val="none" w:sz="0" w:space="0" w:color="auto"/>
                                    <w:right w:val="none" w:sz="0" w:space="0" w:color="auto"/>
                                  </w:divBdr>
                                  <w:divsChild>
                                    <w:div w:id="591861042">
                                      <w:marLeft w:val="0"/>
                                      <w:marRight w:val="0"/>
                                      <w:marTop w:val="60"/>
                                      <w:marBottom w:val="0"/>
                                      <w:divBdr>
                                        <w:top w:val="none" w:sz="0" w:space="0" w:color="auto"/>
                                        <w:left w:val="none" w:sz="0" w:space="0" w:color="auto"/>
                                        <w:bottom w:val="none" w:sz="0" w:space="0" w:color="auto"/>
                                        <w:right w:val="none" w:sz="0" w:space="0" w:color="auto"/>
                                      </w:divBdr>
                                      <w:divsChild>
                                        <w:div w:id="73936159">
                                          <w:marLeft w:val="0"/>
                                          <w:marRight w:val="0"/>
                                          <w:marTop w:val="0"/>
                                          <w:marBottom w:val="0"/>
                                          <w:divBdr>
                                            <w:top w:val="none" w:sz="0" w:space="0" w:color="auto"/>
                                            <w:left w:val="none" w:sz="0" w:space="0" w:color="auto"/>
                                            <w:bottom w:val="none" w:sz="0" w:space="0" w:color="auto"/>
                                            <w:right w:val="none" w:sz="0" w:space="0" w:color="auto"/>
                                          </w:divBdr>
                                          <w:divsChild>
                                            <w:div w:id="2030830229">
                                              <w:marLeft w:val="0"/>
                                              <w:marRight w:val="0"/>
                                              <w:marTop w:val="0"/>
                                              <w:marBottom w:val="0"/>
                                              <w:divBdr>
                                                <w:top w:val="none" w:sz="0" w:space="0" w:color="auto"/>
                                                <w:left w:val="none" w:sz="0" w:space="0" w:color="auto"/>
                                                <w:bottom w:val="none" w:sz="0" w:space="0" w:color="auto"/>
                                                <w:right w:val="none" w:sz="0" w:space="0" w:color="auto"/>
                                              </w:divBdr>
                                              <w:divsChild>
                                                <w:div w:id="982930204">
                                                  <w:marLeft w:val="0"/>
                                                  <w:marRight w:val="0"/>
                                                  <w:marTop w:val="0"/>
                                                  <w:marBottom w:val="0"/>
                                                  <w:divBdr>
                                                    <w:top w:val="none" w:sz="0" w:space="0" w:color="auto"/>
                                                    <w:left w:val="none" w:sz="0" w:space="0" w:color="auto"/>
                                                    <w:bottom w:val="none" w:sz="0" w:space="0" w:color="auto"/>
                                                    <w:right w:val="none" w:sz="0" w:space="0" w:color="auto"/>
                                                  </w:divBdr>
                                                  <w:divsChild>
                                                    <w:div w:id="1956785830">
                                                      <w:marLeft w:val="0"/>
                                                      <w:marRight w:val="0"/>
                                                      <w:marTop w:val="0"/>
                                                      <w:marBottom w:val="0"/>
                                                      <w:divBdr>
                                                        <w:top w:val="none" w:sz="0" w:space="0" w:color="auto"/>
                                                        <w:left w:val="none" w:sz="0" w:space="0" w:color="auto"/>
                                                        <w:bottom w:val="none" w:sz="0" w:space="0" w:color="auto"/>
                                                        <w:right w:val="none" w:sz="0" w:space="0" w:color="auto"/>
                                                      </w:divBdr>
                                                      <w:divsChild>
                                                        <w:div w:id="1383793037">
                                                          <w:marLeft w:val="0"/>
                                                          <w:marRight w:val="0"/>
                                                          <w:marTop w:val="0"/>
                                                          <w:marBottom w:val="0"/>
                                                          <w:divBdr>
                                                            <w:top w:val="none" w:sz="0" w:space="0" w:color="auto"/>
                                                            <w:left w:val="none" w:sz="0" w:space="0" w:color="auto"/>
                                                            <w:bottom w:val="none" w:sz="0" w:space="0" w:color="auto"/>
                                                            <w:right w:val="none" w:sz="0" w:space="0" w:color="auto"/>
                                                          </w:divBdr>
                                                          <w:divsChild>
                                                            <w:div w:id="836581405">
                                                              <w:marLeft w:val="0"/>
                                                              <w:marRight w:val="0"/>
                                                              <w:marTop w:val="0"/>
                                                              <w:marBottom w:val="0"/>
                                                              <w:divBdr>
                                                                <w:top w:val="none" w:sz="0" w:space="0" w:color="auto"/>
                                                                <w:left w:val="none" w:sz="0" w:space="0" w:color="auto"/>
                                                                <w:bottom w:val="none" w:sz="0" w:space="0" w:color="auto"/>
                                                                <w:right w:val="none" w:sz="0" w:space="0" w:color="auto"/>
                                                              </w:divBdr>
                                                              <w:divsChild>
                                                                <w:div w:id="975911721">
                                                                  <w:marLeft w:val="0"/>
                                                                  <w:marRight w:val="0"/>
                                                                  <w:marTop w:val="0"/>
                                                                  <w:marBottom w:val="0"/>
                                                                  <w:divBdr>
                                                                    <w:top w:val="none" w:sz="0" w:space="0" w:color="auto"/>
                                                                    <w:left w:val="none" w:sz="0" w:space="0" w:color="auto"/>
                                                                    <w:bottom w:val="none" w:sz="0" w:space="0" w:color="auto"/>
                                                                    <w:right w:val="none" w:sz="0" w:space="0" w:color="auto"/>
                                                                  </w:divBdr>
                                                                  <w:divsChild>
                                                                    <w:div w:id="5158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calplans@scottishborder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thh\Local%20Settings\Temporary%20Internet%20Files\OLKC\HF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12470D931114893479C0FC842D49B" ma:contentTypeVersion="" ma:contentTypeDescription="Create a new document." ma:contentTypeScope="" ma:versionID="79d7fa51dddfac14595dca1ec5b391cc">
  <xsd:schema xmlns:xsd="http://www.w3.org/2001/XMLSchema" xmlns:xs="http://www.w3.org/2001/XMLSchema" xmlns:p="http://schemas.microsoft.com/office/2006/metadata/properties" xmlns:ns2="10aa2388-3e43-4ffc-a36c-0b28462ba0b7" xmlns:ns3="a4c96808-9a8e-4ebc-8784-3c6bbb931df8" targetNamespace="http://schemas.microsoft.com/office/2006/metadata/properties" ma:root="true" ma:fieldsID="c8409804ec3d7f19c40b6dca404afb82" ns2:_="" ns3:_="">
    <xsd:import namespace="10aa2388-3e43-4ffc-a36c-0b28462ba0b7"/>
    <xsd:import namespace="a4c96808-9a8e-4ebc-8784-3c6bbb931df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a2388-3e43-4ffc-a36c-0b28462ba0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96808-9a8e-4ebc-8784-3c6bbb931df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9810C-3219-4319-A38D-BD3294FA0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a2388-3e43-4ffc-a36c-0b28462ba0b7"/>
    <ds:schemaRef ds:uri="a4c96808-9a8e-4ebc-8784-3c6bbb931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73716-CE3A-457A-91E3-74F35AF243FC}">
  <ds:schemaRefs>
    <ds:schemaRef ds:uri="http://schemas.microsoft.com/sharepoint/v3/contenttype/forms"/>
  </ds:schemaRefs>
</ds:datastoreItem>
</file>

<file path=customXml/itemProps3.xml><?xml version="1.0" encoding="utf-8"?>
<ds:datastoreItem xmlns:ds="http://schemas.openxmlformats.org/officeDocument/2006/customXml" ds:itemID="{86CAB768-F171-488B-92C2-79C98B3944CB}">
  <ds:schemaRefs>
    <ds:schemaRef ds:uri="http://purl.org/dc/terms/"/>
    <ds:schemaRef ds:uri="http://schemas.openxmlformats.org/package/2006/metadata/core-properties"/>
    <ds:schemaRef ds:uri="http://schemas.microsoft.com/office/2006/documentManagement/types"/>
    <ds:schemaRef ds:uri="10aa2388-3e43-4ffc-a36c-0b28462ba0b7"/>
    <ds:schemaRef ds:uri="http://purl.org/dc/elements/1.1/"/>
    <ds:schemaRef ds:uri="http://schemas.microsoft.com/office/2006/metadata/properties"/>
    <ds:schemaRef ds:uri="http://schemas.microsoft.com/office/infopath/2007/PartnerControls"/>
    <ds:schemaRef ds:uri="a4c96808-9a8e-4ebc-8784-3c6bbb931df8"/>
    <ds:schemaRef ds:uri="http://www.w3.org/XML/1998/namespace"/>
    <ds:schemaRef ds:uri="http://purl.org/dc/dcmitype/"/>
  </ds:schemaRefs>
</ds:datastoreItem>
</file>

<file path=customXml/itemProps4.xml><?xml version="1.0" encoding="utf-8"?>
<ds:datastoreItem xmlns:ds="http://schemas.openxmlformats.org/officeDocument/2006/customXml" ds:itemID="{D2A1C8F4-DE2A-4527-8C92-9FBEBEE8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HFSLetterhead</Template>
  <TotalTime>398</TotalTime>
  <Pages>5</Pages>
  <Words>2737</Words>
  <Characters>13889</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
    </vt:vector>
  </TitlesOfParts>
  <Company>RHA</Company>
  <LinksUpToDate>false</LinksUpToDate>
  <CharactersWithSpaces>16593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bethh</dc:creator>
  <cp:keywords>LAUL/001/005_1891802_2</cp:keywords>
  <cp:lastModifiedBy>Nikola Miller</cp:lastModifiedBy>
  <cp:revision>211</cp:revision>
  <cp:lastPrinted>2018-10-11T15:40:00Z</cp:lastPrinted>
  <dcterms:created xsi:type="dcterms:W3CDTF">2019-02-07T12:33:00Z</dcterms:created>
  <dcterms:modified xsi:type="dcterms:W3CDTF">2019-02-08T15:47:00Z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0x01010031B12470D931114893479C0FC842D49B</vt:lpwstr>
  </property>
</Properties>
</file>